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1A2F0" w14:textId="77777777" w:rsidR="000D6C91" w:rsidRDefault="00C11F23">
      <w:pPr>
        <w:spacing w:line="240" w:lineRule="auto"/>
        <w:rPr>
          <w:b/>
        </w:rPr>
        <w:sectPr w:rsidR="000D6C91">
          <w:pgSz w:w="12240" w:h="15840"/>
          <w:pgMar w:top="1417" w:right="1701" w:bottom="1417" w:left="1701" w:header="0" w:footer="0" w:gutter="0"/>
          <w:pgNumType w:start="1"/>
          <w:cols w:space="720"/>
        </w:sectPr>
      </w:pPr>
      <w:r>
        <w:t xml:space="preserve"> </w:t>
      </w:r>
      <w:r>
        <w:rPr>
          <w:noProof/>
        </w:rPr>
        <w:drawing>
          <wp:anchor distT="0" distB="0" distL="0" distR="0" simplePos="0" relativeHeight="251658240" behindDoc="1" locked="0" layoutInCell="1" hidden="0" allowOverlap="1" wp14:anchorId="2C5D7112" wp14:editId="17C77783">
            <wp:simplePos x="0" y="0"/>
            <wp:positionH relativeFrom="column">
              <wp:posOffset>-1080134</wp:posOffset>
            </wp:positionH>
            <wp:positionV relativeFrom="paragraph">
              <wp:posOffset>-899793</wp:posOffset>
            </wp:positionV>
            <wp:extent cx="7820025" cy="10677208"/>
            <wp:effectExtent l="0" t="0" r="0" b="0"/>
            <wp:wrapNone/>
            <wp:docPr id="2095680328" name="image1.jpg" descr="Imagen que contiene Patrón de fond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jpg" descr="Imagen que contiene Patrón de fondo&#10;&#10;Descripción generada automáticamente"/>
                    <pic:cNvPicPr preferRelativeResize="0"/>
                  </pic:nvPicPr>
                  <pic:blipFill>
                    <a:blip r:embed="rId8"/>
                    <a:srcRect/>
                    <a:stretch>
                      <a:fillRect/>
                    </a:stretch>
                  </pic:blipFill>
                  <pic:spPr>
                    <a:xfrm>
                      <a:off x="0" y="0"/>
                      <a:ext cx="7820025" cy="10677208"/>
                    </a:xfrm>
                    <a:prstGeom prst="rect">
                      <a:avLst/>
                    </a:prstGeom>
                    <a:ln/>
                  </pic:spPr>
                </pic:pic>
              </a:graphicData>
            </a:graphic>
          </wp:anchor>
        </w:drawing>
      </w:r>
      <w:r>
        <w:rPr>
          <w:noProof/>
        </w:rPr>
        <mc:AlternateContent>
          <mc:Choice Requires="wps">
            <w:drawing>
              <wp:anchor distT="0" distB="0" distL="114300" distR="114300" simplePos="0" relativeHeight="251659264" behindDoc="0" locked="0" layoutInCell="1" hidden="0" allowOverlap="1" wp14:anchorId="5A40AA5D" wp14:editId="2EA19B5E">
                <wp:simplePos x="0" y="0"/>
                <wp:positionH relativeFrom="column">
                  <wp:posOffset>-288606</wp:posOffset>
                </wp:positionH>
                <wp:positionV relativeFrom="paragraph">
                  <wp:posOffset>2862263</wp:posOffset>
                </wp:positionV>
                <wp:extent cx="6105525" cy="2032635"/>
                <wp:effectExtent l="0" t="0" r="0" b="0"/>
                <wp:wrapNone/>
                <wp:docPr id="2095680327" name="Rectángulo: esquinas redondeadas 2095680327"/>
                <wp:cNvGraphicFramePr/>
                <a:graphic xmlns:a="http://schemas.openxmlformats.org/drawingml/2006/main">
                  <a:graphicData uri="http://schemas.microsoft.com/office/word/2010/wordprocessingShape">
                    <wps:wsp>
                      <wps:cNvSpPr/>
                      <wps:spPr>
                        <a:xfrm>
                          <a:off x="2298000" y="2768445"/>
                          <a:ext cx="6096000" cy="2023110"/>
                        </a:xfrm>
                        <a:prstGeom prst="roundRect">
                          <a:avLst>
                            <a:gd name="adj" fmla="val 16667"/>
                          </a:avLst>
                        </a:prstGeom>
                        <a:solidFill>
                          <a:srgbClr val="224C22"/>
                        </a:solidFill>
                        <a:ln>
                          <a:noFill/>
                        </a:ln>
                      </wps:spPr>
                      <wps:txbx>
                        <w:txbxContent>
                          <w:p w14:paraId="2CBD852C" w14:textId="77777777" w:rsidR="000D6C91" w:rsidRDefault="000D6C91">
                            <w:pPr>
                              <w:spacing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oundrect w14:anchorId="5A40AA5D" id="Rectángulo: esquinas redondeadas 2095680327" o:spid="_x0000_s1026" style="position:absolute;left:0;text-align:left;margin-left:-22.7pt;margin-top:225.4pt;width:480.75pt;height:160.0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" fillcolor="#224c22" stroked="f">
                <v:textbox inset="2.53958mm,2.53958mm,2.53958mm,2.53958mm">
                  <w:txbxContent>
                    <w:p w14:paraId="2CBD852C" w14:textId="77777777" w:rsidR="000D6C91" w:rsidRDefault="000D6C91">
                      <w:pPr>
                        <w:spacing w:after="0" w:line="240" w:lineRule="auto"/>
                        <w:jc w:val="left"/>
                        <w:textDirection w:val="btLr"/>
                      </w:pPr>
                    </w:p>
                  </w:txbxContent>
                </v:textbox>
              </v:roundrect>
            </w:pict>
          </mc:Fallback>
        </mc:AlternateContent>
      </w:r>
      <w:r>
        <w:rPr>
          <w:noProof/>
        </w:rPr>
        <mc:AlternateContent>
          <mc:Choice Requires="wps">
            <w:drawing>
              <wp:anchor distT="0" distB="0" distL="113665" distR="114300" simplePos="0" relativeHeight="251660288" behindDoc="0" locked="0" layoutInCell="1" hidden="0" allowOverlap="1" wp14:anchorId="611C66D8" wp14:editId="0B70C706">
                <wp:simplePos x="0" y="0"/>
                <wp:positionH relativeFrom="column">
                  <wp:posOffset>-4760</wp:posOffset>
                </wp:positionH>
                <wp:positionV relativeFrom="paragraph">
                  <wp:posOffset>5115243</wp:posOffset>
                </wp:positionV>
                <wp:extent cx="5428615" cy="2338773"/>
                <wp:effectExtent l="0" t="0" r="0" b="0"/>
                <wp:wrapSquare wrapText="bothSides" distT="0" distB="0" distL="113665" distR="114300"/>
                <wp:docPr id="2095680317" name="Rectángulo 2095680317"/>
                <wp:cNvGraphicFramePr/>
                <a:graphic xmlns:a="http://schemas.openxmlformats.org/drawingml/2006/main">
                  <a:graphicData uri="http://schemas.microsoft.com/office/word/2010/wordprocessingShape">
                    <wps:wsp>
                      <wps:cNvSpPr/>
                      <wps:spPr>
                        <a:xfrm>
                          <a:off x="2636455" y="2619538"/>
                          <a:ext cx="5419090" cy="2320925"/>
                        </a:xfrm>
                        <a:prstGeom prst="rect">
                          <a:avLst/>
                        </a:prstGeom>
                        <a:noFill/>
                        <a:ln>
                          <a:noFill/>
                        </a:ln>
                      </wps:spPr>
                      <wps:txbx>
                        <w:txbxContent>
                          <w:p w14:paraId="17189755" w14:textId="77777777" w:rsidR="000D6C91" w:rsidRDefault="00C11F23">
                            <w:pPr>
                              <w:spacing w:line="360" w:lineRule="auto"/>
                              <w:jc w:val="center"/>
                              <w:textDirection w:val="btLr"/>
                            </w:pPr>
                            <w:r>
                              <w:rPr>
                                <w:rFonts w:ascii="Raleway" w:eastAsia="Raleway" w:hAnsi="Raleway" w:cs="Raleway"/>
                                <w:b/>
                                <w:color w:val="224C22"/>
                                <w:sz w:val="36"/>
                              </w:rPr>
                              <w:t xml:space="preserve">PROCESO: </w:t>
                            </w:r>
                          </w:p>
                          <w:p w14:paraId="2EE99AE7" w14:textId="2BA43158" w:rsidR="000D6C91" w:rsidRDefault="00DB6682">
                            <w:pPr>
                              <w:spacing w:line="360" w:lineRule="auto"/>
                              <w:jc w:val="center"/>
                              <w:textDirection w:val="btLr"/>
                            </w:pPr>
                            <w:r>
                              <w:rPr>
                                <w:rFonts w:ascii="Raleway" w:eastAsia="Raleway" w:hAnsi="Raleway" w:cs="Raleway"/>
                                <w:b/>
                                <w:color w:val="224C22"/>
                                <w:sz w:val="36"/>
                              </w:rPr>
                              <w:t>ANALÍTICA DE DATOS E INFORMACIÓN AMBIENTAL</w:t>
                            </w:r>
                          </w:p>
                        </w:txbxContent>
                      </wps:txbx>
                      <wps:bodyPr spcFirstLastPara="1" wrap="square" lIns="365750" tIns="182875" rIns="182875" bIns="182875" anchor="b" anchorCtr="0">
                        <a:noAutofit/>
                      </wps:bodyPr>
                    </wps:wsp>
                  </a:graphicData>
                </a:graphic>
              </wp:anchor>
            </w:drawing>
          </mc:Choice>
          <mc:Fallback>
            <w:pict>
              <v:rect w14:anchorId="611C66D8" id="Rectángulo 2095680317" o:spid="_x0000_s1027" style="position:absolute;left:0;text-align:left;margin-left:-.35pt;margin-top:402.8pt;width:427.45pt;height:184.15pt;z-index:251660288;visibility:visible;mso-wrap-style:square;mso-wrap-distance-left:8.95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" filled="f" stroked="f">
                <v:textbox inset="10.1597mm,5.07986mm,5.07986mm,5.07986mm">
                  <w:txbxContent>
                    <w:p w14:paraId="17189755" w14:textId="77777777" w:rsidR="000D6C91" w:rsidRDefault="00C11F23">
                      <w:pPr>
                        <w:spacing w:line="360" w:lineRule="auto"/>
                        <w:jc w:val="center"/>
                        <w:textDirection w:val="btLr"/>
                      </w:pPr>
                      <w:r>
                        <w:rPr>
                          <w:rFonts w:ascii="Raleway" w:eastAsia="Raleway" w:hAnsi="Raleway" w:cs="Raleway"/>
                          <w:b/>
                          <w:color w:val="224C22"/>
                          <w:sz w:val="36"/>
                        </w:rPr>
                        <w:t xml:space="preserve">PROCESO: </w:t>
                      </w:r>
                    </w:p>
                    <w:p w14:paraId="2EE99AE7" w14:textId="2BA43158" w:rsidR="000D6C91" w:rsidRDefault="00DB6682">
                      <w:pPr>
                        <w:spacing w:line="360" w:lineRule="auto"/>
                        <w:jc w:val="center"/>
                        <w:textDirection w:val="btLr"/>
                      </w:pPr>
                      <w:r>
                        <w:rPr>
                          <w:rFonts w:ascii="Raleway" w:eastAsia="Raleway" w:hAnsi="Raleway" w:cs="Raleway"/>
                          <w:b/>
                          <w:color w:val="224C22"/>
                          <w:sz w:val="36"/>
                        </w:rPr>
                        <w:t>ANALÍTICA DE DATOS E INFORMACIÓN AMBIENTAL</w:t>
                      </w:r>
                    </w:p>
                  </w:txbxContent>
                </v:textbox>
                <w10:wrap type="square"/>
              </v:rect>
            </w:pict>
          </mc:Fallback>
        </mc:AlternateContent>
      </w:r>
      <w:r>
        <w:rPr>
          <w:noProof/>
        </w:rPr>
        <w:drawing>
          <wp:anchor distT="0" distB="0" distL="114300" distR="114300" simplePos="0" relativeHeight="251661312" behindDoc="0" locked="0" layoutInCell="1" hidden="0" allowOverlap="1" wp14:anchorId="02280E19" wp14:editId="2CE1C015">
            <wp:simplePos x="0" y="0"/>
            <wp:positionH relativeFrom="column">
              <wp:posOffset>706120</wp:posOffset>
            </wp:positionH>
            <wp:positionV relativeFrom="paragraph">
              <wp:posOffset>7475219</wp:posOffset>
            </wp:positionV>
            <wp:extent cx="4200525" cy="775970"/>
            <wp:effectExtent l="0" t="0" r="0" b="0"/>
            <wp:wrapSquare wrapText="bothSides" distT="0" distB="0" distL="114300" distR="114300"/>
            <wp:docPr id="2095680345" name="image11.png" descr="Interfaz de usuario gráfica,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1.png" descr="Interfaz de usuario gráfica, Texto&#10;&#10;Descripción generada automáticamente"/>
                    <pic:cNvPicPr preferRelativeResize="0"/>
                  </pic:nvPicPr>
                  <pic:blipFill>
                    <a:blip r:embed="rId9"/>
                    <a:srcRect/>
                    <a:stretch>
                      <a:fillRect/>
                    </a:stretch>
                  </pic:blipFill>
                  <pic:spPr>
                    <a:xfrm>
                      <a:off x="0" y="0"/>
                      <a:ext cx="4200525" cy="775970"/>
                    </a:xfrm>
                    <a:prstGeom prst="rect">
                      <a:avLst/>
                    </a:prstGeom>
                    <a:ln/>
                  </pic:spPr>
                </pic:pic>
              </a:graphicData>
            </a:graphic>
          </wp:anchor>
        </w:drawing>
      </w:r>
      <w:r>
        <w:rPr>
          <w:noProof/>
        </w:rPr>
        <mc:AlternateContent>
          <mc:Choice Requires="wps">
            <w:drawing>
              <wp:anchor distT="0" distB="0" distL="114300" distR="114300" simplePos="0" relativeHeight="251662336" behindDoc="0" locked="0" layoutInCell="1" hidden="0" allowOverlap="1" wp14:anchorId="17776020" wp14:editId="59AF6CD0">
                <wp:simplePos x="0" y="0"/>
                <wp:positionH relativeFrom="column">
                  <wp:posOffset>-4761</wp:posOffset>
                </wp:positionH>
                <wp:positionV relativeFrom="paragraph">
                  <wp:posOffset>2838768</wp:posOffset>
                </wp:positionV>
                <wp:extent cx="5429250" cy="2006600"/>
                <wp:effectExtent l="0" t="0" r="0" b="0"/>
                <wp:wrapNone/>
                <wp:docPr id="2095680323" name="Rectángulo 2095680323"/>
                <wp:cNvGraphicFramePr/>
                <a:graphic xmlns:a="http://schemas.openxmlformats.org/drawingml/2006/main">
                  <a:graphicData uri="http://schemas.microsoft.com/office/word/2010/wordprocessingShape">
                    <wps:wsp>
                      <wps:cNvSpPr/>
                      <wps:spPr>
                        <a:xfrm>
                          <a:off x="2636138" y="2781463"/>
                          <a:ext cx="5419725" cy="1997075"/>
                        </a:xfrm>
                        <a:prstGeom prst="rect">
                          <a:avLst/>
                        </a:prstGeom>
                        <a:noFill/>
                        <a:ln>
                          <a:noFill/>
                        </a:ln>
                      </wps:spPr>
                      <wps:txbx>
                        <w:txbxContent>
                          <w:p w14:paraId="4876F7D6" w14:textId="3C253D5F" w:rsidR="000D6C91" w:rsidRPr="00833492" w:rsidRDefault="00C11F23" w:rsidP="00DB6682">
                            <w:pPr>
                              <w:spacing w:line="258" w:lineRule="auto"/>
                              <w:jc w:val="center"/>
                              <w:textDirection w:val="btLr"/>
                              <w:rPr>
                                <w:highlight w:val="none"/>
                              </w:rPr>
                            </w:pPr>
                            <w:r w:rsidRPr="00833492">
                              <w:rPr>
                                <w:b/>
                                <w:color w:val="FFFFFF"/>
                                <w:sz w:val="40"/>
                                <w:highlight w:val="none"/>
                              </w:rPr>
                              <w:t xml:space="preserve">INSTRUCTIVO </w:t>
                            </w:r>
                          </w:p>
                          <w:p w14:paraId="44712B9A" w14:textId="77777777" w:rsidR="00DB6682" w:rsidRDefault="00DB6682">
                            <w:pPr>
                              <w:rPr>
                                <w:highlight w:val="none"/>
                              </w:rPr>
                            </w:pPr>
                          </w:p>
                        </w:txbxContent>
                      </wps:txbx>
                      <wps:bodyPr spcFirstLastPara="1" wrap="square" lIns="91425" tIns="45700" rIns="91425" bIns="45700" anchor="ctr" anchorCtr="0">
                        <a:noAutofit/>
                      </wps:bodyPr>
                    </wps:wsp>
                  </a:graphicData>
                </a:graphic>
              </wp:anchor>
            </w:drawing>
          </mc:Choice>
          <mc:Fallback>
            <w:pict>
              <v:rect w14:anchorId="17776020" id="Rectángulo 2095680323" o:spid="_x0000_s1028" style="position:absolute;left:0;text-align:left;margin-left:-.35pt;margin-top:223.55pt;width:427.5pt;height:15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" filled="f" stroked="f">
                <v:textbox inset="2.53958mm,1.2694mm,2.53958mm,1.2694mm">
                  <w:txbxContent>
                    <w:p w14:paraId="4876F7D6" w14:textId="3C253D5F" w:rsidR="000D6C91" w:rsidRPr="00833492" w:rsidRDefault="00C11F23" w:rsidP="00DB6682">
                      <w:pPr>
                        <w:spacing w:line="258" w:lineRule="auto"/>
                        <w:jc w:val="center"/>
                        <w:textDirection w:val="btLr"/>
                        <w:rPr>
                          <w:highlight w:val="none"/>
                        </w:rPr>
                      </w:pPr>
                      <w:r w:rsidRPr="00833492">
                        <w:rPr>
                          <w:b/>
                          <w:color w:val="FFFFFF"/>
                          <w:sz w:val="40"/>
                          <w:highlight w:val="none"/>
                        </w:rPr>
                        <w:t xml:space="preserve">INSTRUCTIVO </w:t>
                      </w:r>
                    </w:p>
                    <w:p w14:paraId="44712B9A" w14:textId="77777777" w:rsidR="00DB6682" w:rsidRDefault="00DB6682">
                      <w:pPr>
                        <w:rPr>
                          <w:highlight w:val="none"/>
                        </w:rPr>
                      </w:pPr>
                    </w:p>
                  </w:txbxContent>
                </v:textbox>
              </v:rect>
            </w:pict>
          </mc:Fallback>
        </mc:AlternateContent>
      </w:r>
    </w:p>
    <w:p w14:paraId="7714B909" w14:textId="77777777" w:rsidR="000D6C91" w:rsidRDefault="00C11F23">
      <w:pPr>
        <w:spacing w:line="240" w:lineRule="auto"/>
        <w:jc w:val="center"/>
        <w:rPr>
          <w:b/>
        </w:rPr>
      </w:pPr>
      <w:r>
        <w:rPr>
          <w:b/>
        </w:rPr>
        <w:lastRenderedPageBreak/>
        <w:t>TABLA DE CONTENIDO</w:t>
      </w:r>
    </w:p>
    <w:p w14:paraId="710B8507" w14:textId="77777777" w:rsidR="000D6C91" w:rsidRDefault="00C11F23">
      <w:pPr>
        <w:tabs>
          <w:tab w:val="left" w:pos="1830"/>
        </w:tabs>
      </w:pPr>
      <w:r>
        <w:tab/>
      </w:r>
    </w:p>
    <w:sdt>
      <w:sdtPr>
        <w:id w:val="1162987966"/>
        <w:docPartObj>
          <w:docPartGallery w:val="Table of Contents"/>
          <w:docPartUnique/>
        </w:docPartObj>
      </w:sdtPr>
      <w:sdtContent>
        <w:p w14:paraId="4FEEB126" w14:textId="3C666F7E" w:rsidR="000D6C91" w:rsidRDefault="00C11F23">
          <w:pPr>
            <w:tabs>
              <w:tab w:val="left" w:pos="1830"/>
            </w:tabs>
          </w:pPr>
          <w:r>
            <w:fldChar w:fldCharType="begin"/>
          </w:r>
          <w:r>
            <w:instrText xml:space="preserve"> TOC \h \u \z \t "Heading 1,1,Heading 2,2,Heading 3,3,Heading 4,4,Heading 5,5,"</w:instrText>
          </w:r>
          <w:r>
            <w:fldChar w:fldCharType="separate"/>
          </w:r>
          <w:r w:rsidR="006065B7">
            <w:rPr>
              <w:b/>
              <w:bCs/>
              <w:noProof/>
              <w:lang w:val="es-MX"/>
            </w:rPr>
            <w:t>No se encontraron entradas de tabla de contenido.</w:t>
          </w:r>
          <w:r>
            <w:fldChar w:fldCharType="end"/>
          </w:r>
        </w:p>
      </w:sdtContent>
    </w:sdt>
    <w:p w14:paraId="130EF006" w14:textId="77777777" w:rsidR="000D6C91" w:rsidRDefault="00C11F23">
      <w:pPr>
        <w:tabs>
          <w:tab w:val="left" w:pos="1830"/>
        </w:tabs>
        <w:sectPr w:rsidR="000D6C91">
          <w:headerReference w:type="default" r:id="rId10"/>
          <w:pgSz w:w="12240" w:h="15840"/>
          <w:pgMar w:top="1701" w:right="1134" w:bottom="1134" w:left="1701" w:header="1134" w:footer="0" w:gutter="0"/>
          <w:cols w:space="720"/>
        </w:sectPr>
      </w:pPr>
      <w:r>
        <w:t> </w:t>
      </w:r>
      <w:r>
        <w:tab/>
      </w:r>
    </w:p>
    <w:p w14:paraId="3F1ADB44" w14:textId="77777777" w:rsidR="000D6C91" w:rsidRDefault="00C11F23">
      <w:pPr>
        <w:pStyle w:val="Ttulo1"/>
        <w:numPr>
          <w:ilvl w:val="0"/>
          <w:numId w:val="7"/>
        </w:numPr>
        <w:spacing w:line="240" w:lineRule="auto"/>
      </w:pPr>
      <w:r>
        <w:lastRenderedPageBreak/>
        <w:t>OBJETIVO</w:t>
      </w:r>
    </w:p>
    <w:p w14:paraId="045A8551" w14:textId="77777777" w:rsidR="000D6C91" w:rsidRDefault="000D6C91">
      <w:pPr>
        <w:pBdr>
          <w:top w:val="nil"/>
          <w:left w:val="nil"/>
          <w:bottom w:val="nil"/>
          <w:right w:val="nil"/>
          <w:between w:val="nil"/>
        </w:pBdr>
        <w:spacing w:after="0" w:line="240" w:lineRule="auto"/>
        <w:rPr>
          <w:color w:val="000000"/>
        </w:rPr>
      </w:pPr>
    </w:p>
    <w:p w14:paraId="1FB91E17" w14:textId="72D89862" w:rsidR="000D6C91" w:rsidRDefault="0009201C">
      <w:pPr>
        <w:spacing w:line="240" w:lineRule="auto"/>
      </w:pPr>
      <w:r w:rsidRPr="0009201C">
        <w:t xml:space="preserve">Establecer los lineamientos para la identificación, declaración, evaluación y gestión de conflictos de interés reales, potenciales o percibidos que puedan afectar la imparcialidad </w:t>
      </w:r>
      <w:r>
        <w:t>d</w:t>
      </w:r>
      <w:r w:rsidRPr="0009201C">
        <w:t>el desarrollo de las actividades de</w:t>
      </w:r>
      <w:r>
        <w:t xml:space="preserve"> </w:t>
      </w:r>
      <w:r w:rsidRPr="0009201C">
        <w:t>l</w:t>
      </w:r>
      <w:r>
        <w:t>os</w:t>
      </w:r>
      <w:r w:rsidRPr="0009201C">
        <w:t xml:space="preserve"> Laboratorio</w:t>
      </w:r>
      <w:r>
        <w:t xml:space="preserve">s </w:t>
      </w:r>
      <w:r w:rsidRPr="0009201C">
        <w:t>de la Secretaría Distrital de Ambiente.</w:t>
      </w:r>
    </w:p>
    <w:p w14:paraId="1BC40B89" w14:textId="77777777" w:rsidR="000D6C91" w:rsidRDefault="00C11F23">
      <w:pPr>
        <w:pStyle w:val="Ttulo1"/>
        <w:numPr>
          <w:ilvl w:val="0"/>
          <w:numId w:val="7"/>
        </w:numPr>
        <w:spacing w:line="240" w:lineRule="auto"/>
        <w:ind w:left="567" w:hanging="360"/>
      </w:pPr>
      <w:r>
        <w:t>ALCANCE</w:t>
      </w:r>
    </w:p>
    <w:p w14:paraId="4AFB3C91" w14:textId="77777777" w:rsidR="000D6C91" w:rsidRDefault="000D6C91">
      <w:pPr>
        <w:pBdr>
          <w:top w:val="nil"/>
          <w:left w:val="nil"/>
          <w:bottom w:val="nil"/>
          <w:right w:val="nil"/>
          <w:between w:val="nil"/>
        </w:pBdr>
        <w:spacing w:after="0" w:line="240" w:lineRule="auto"/>
        <w:rPr>
          <w:color w:val="000000"/>
        </w:rPr>
      </w:pPr>
    </w:p>
    <w:p w14:paraId="234F708D" w14:textId="3877FF51" w:rsidR="000D6C91" w:rsidRDefault="00C11F23">
      <w:pPr>
        <w:spacing w:after="0" w:line="240" w:lineRule="auto"/>
      </w:pPr>
      <w:r>
        <w:t xml:space="preserve">Este instructivo aplica para </w:t>
      </w:r>
      <w:r w:rsidR="0009201C">
        <w:t>todo el personal</w:t>
      </w:r>
      <w:r>
        <w:t xml:space="preserve"> que integran </w:t>
      </w:r>
      <w:r w:rsidR="0009201C">
        <w:t>los laboratorios de la Secretaria Distrital de Ambiente, incluyendo funcionarios y contratistas que participen tanto en actividades técnicas como administrativas relacionadas con mediciones, calibraciones, muestreos, procesamiento de datos, elaboración de informes, declaración de conformidad y auditorias</w:t>
      </w:r>
      <w:r>
        <w:t>.</w:t>
      </w:r>
    </w:p>
    <w:p w14:paraId="399D9DF3" w14:textId="77777777" w:rsidR="000D6C91" w:rsidRDefault="00C11F23">
      <w:pPr>
        <w:pStyle w:val="Ttulo1"/>
        <w:numPr>
          <w:ilvl w:val="0"/>
          <w:numId w:val="7"/>
        </w:numPr>
        <w:spacing w:line="240" w:lineRule="auto"/>
        <w:ind w:left="567" w:hanging="360"/>
      </w:pPr>
      <w:r>
        <w:t>DEFINICIONES</w:t>
      </w:r>
    </w:p>
    <w:p w14:paraId="6EC14D1D" w14:textId="77777777" w:rsidR="000D6C91" w:rsidRDefault="000D6C91">
      <w:pPr>
        <w:pBdr>
          <w:top w:val="nil"/>
          <w:left w:val="nil"/>
          <w:bottom w:val="nil"/>
          <w:right w:val="nil"/>
          <w:between w:val="nil"/>
        </w:pBdr>
        <w:spacing w:after="0" w:line="240" w:lineRule="auto"/>
        <w:rPr>
          <w:color w:val="000000"/>
        </w:rPr>
      </w:pPr>
    </w:p>
    <w:p w14:paraId="08B84993" w14:textId="3609373C" w:rsidR="000D6C91" w:rsidRDefault="0009201C">
      <w:pPr>
        <w:spacing w:line="240" w:lineRule="auto"/>
      </w:pPr>
      <w:r>
        <w:rPr>
          <w:b/>
        </w:rPr>
        <w:t>CONFLICTO DE INTERÉS</w:t>
      </w:r>
      <w:r w:rsidR="00C11F23">
        <w:rPr>
          <w:b/>
        </w:rPr>
        <w:t>:</w:t>
      </w:r>
      <w:r w:rsidR="00C11F23">
        <w:t xml:space="preserve"> </w:t>
      </w:r>
      <w:r w:rsidR="00D47157">
        <w:t>situación en la que la conducta de un servidor público obtiene un beneficio en menoscabo del interés general, sin declararse impedido en alguna gestión en el ejercicio de sus obligaciones y deberes, ya sea a favor propio, familiar o de un tercero</w:t>
      </w:r>
      <w:r w:rsidRPr="0009201C">
        <w:t>.</w:t>
      </w:r>
    </w:p>
    <w:p w14:paraId="20EB3F95" w14:textId="1A98D7BC" w:rsidR="000D6C91" w:rsidRDefault="0009201C">
      <w:pPr>
        <w:spacing w:line="240" w:lineRule="auto"/>
        <w:rPr>
          <w:b/>
        </w:rPr>
      </w:pPr>
      <w:r>
        <w:rPr>
          <w:b/>
        </w:rPr>
        <w:t>CONFLICTO DE INTERÉS REAL</w:t>
      </w:r>
      <w:r w:rsidR="00C11F23">
        <w:rPr>
          <w:b/>
        </w:rPr>
        <w:t xml:space="preserve">: </w:t>
      </w:r>
      <w:r>
        <w:t>e</w:t>
      </w:r>
      <w:r w:rsidRPr="0009201C">
        <w:t>xiste cuando una persona tiene intereses que influyen directamente en sus decisiones o actuaciones dentro del laboratorio.</w:t>
      </w:r>
    </w:p>
    <w:p w14:paraId="7BF2ECED" w14:textId="4DDD688C" w:rsidR="000D6C91" w:rsidRDefault="0009201C">
      <w:pPr>
        <w:spacing w:line="240" w:lineRule="auto"/>
      </w:pPr>
      <w:r>
        <w:rPr>
          <w:b/>
        </w:rPr>
        <w:t>CONFLICTO DE INTERÉS POTENCIAL</w:t>
      </w:r>
      <w:r w:rsidR="00C11F23">
        <w:rPr>
          <w:b/>
        </w:rPr>
        <w:t>:</w:t>
      </w:r>
      <w:r w:rsidR="00C11F23">
        <w:t xml:space="preserve"> </w:t>
      </w:r>
      <w:r>
        <w:t>s</w:t>
      </w:r>
      <w:r w:rsidRPr="0009201C">
        <w:t>e presenta cuando existe la posibilidad de que intereses personales puedan influir en el futuro en la toma de decisiones</w:t>
      </w:r>
      <w:r w:rsidR="00C11F23">
        <w:t>.</w:t>
      </w:r>
    </w:p>
    <w:p w14:paraId="317829F9" w14:textId="1ADD9C5B" w:rsidR="000D6C91" w:rsidRDefault="0009201C">
      <w:pPr>
        <w:spacing w:line="240" w:lineRule="auto"/>
      </w:pPr>
      <w:r>
        <w:rPr>
          <w:b/>
        </w:rPr>
        <w:t>CONFLICTO DE INTERÉS PERCIBIDO</w:t>
      </w:r>
      <w:r w:rsidR="00C11F23">
        <w:rPr>
          <w:b/>
        </w:rPr>
        <w:t>:</w:t>
      </w:r>
      <w:r w:rsidR="00C11F23">
        <w:t xml:space="preserve"> </w:t>
      </w:r>
      <w:r w:rsidRPr="0009201C">
        <w:t>Ocurre cuando terceros pueden interpretar que existe falta de imparcialidad, aunque no se haya materializado un conflicto real</w:t>
      </w:r>
      <w:r w:rsidR="00C11F23">
        <w:t>.</w:t>
      </w:r>
    </w:p>
    <w:p w14:paraId="72AAB291" w14:textId="77777777" w:rsidR="000D6C91" w:rsidRDefault="00C11F23">
      <w:pPr>
        <w:pStyle w:val="Ttulo1"/>
        <w:numPr>
          <w:ilvl w:val="0"/>
          <w:numId w:val="7"/>
        </w:numPr>
        <w:spacing w:line="240" w:lineRule="auto"/>
        <w:ind w:left="567" w:hanging="360"/>
      </w:pPr>
      <w:r>
        <w:t>DESCRIPCIÓN DE ACTIVIDADES</w:t>
      </w:r>
    </w:p>
    <w:p w14:paraId="199164CE" w14:textId="77777777" w:rsidR="000D6C91" w:rsidRDefault="00C11F23">
      <w:pPr>
        <w:spacing w:after="0" w:line="240" w:lineRule="auto"/>
        <w:rPr>
          <w:b/>
        </w:rPr>
      </w:pPr>
      <w:bookmarkStart w:id="0" w:name="_heading=h.zg8o2ahh8gjn" w:colFirst="0" w:colLast="0"/>
      <w:bookmarkEnd w:id="0"/>
      <w:r>
        <w:rPr>
          <w:b/>
        </w:rPr>
        <w:tab/>
      </w:r>
    </w:p>
    <w:p w14:paraId="2C379F5E" w14:textId="340544EA" w:rsidR="00773260" w:rsidRDefault="00773260" w:rsidP="00773260">
      <w:pPr>
        <w:pStyle w:val="Ttulo2"/>
        <w:numPr>
          <w:ilvl w:val="1"/>
          <w:numId w:val="7"/>
        </w:numPr>
        <w:spacing w:line="240" w:lineRule="auto"/>
        <w:ind w:left="720"/>
      </w:pPr>
      <w:r>
        <w:t xml:space="preserve">Identificación de conflicto de interés en etapa </w:t>
      </w:r>
      <w:r w:rsidR="00097EC2">
        <w:t>pre</w:t>
      </w:r>
      <w:r>
        <w:t>contractual</w:t>
      </w:r>
    </w:p>
    <w:p w14:paraId="04D1852B" w14:textId="77777777" w:rsidR="00773260" w:rsidRPr="00773260" w:rsidRDefault="00773260" w:rsidP="00773260">
      <w:pPr>
        <w:spacing w:after="0"/>
      </w:pPr>
    </w:p>
    <w:p w14:paraId="5D43DAE8" w14:textId="60EC04D1" w:rsidR="00773260" w:rsidRDefault="00773260" w:rsidP="00773260">
      <w:r>
        <w:t xml:space="preserve">Para el ejercicio de actividades en </w:t>
      </w:r>
      <w:r>
        <w:t>los laboratorios</w:t>
      </w:r>
      <w:r>
        <w:t xml:space="preserve"> de la Secretaría Distrital de Ambiente (SDA), el personal deberá diligenciar y aportar, como parte de los documentos del proceso </w:t>
      </w:r>
      <w:r w:rsidR="00097EC2">
        <w:t>pre</w:t>
      </w:r>
      <w:r>
        <w:t>contractual, el formato “Declaración de Bienes y Rentas y Registro de Conflictos de Interés”, en cumplimiento de la Ley 2013 de 2019, Ley 1437 de 2011 y Ley 734 de 2002, a través del Sistema de Publicación de Información dispuesto por la Función Pública, o el que lo modifique o sustituya.</w:t>
      </w:r>
    </w:p>
    <w:p w14:paraId="384CAE62" w14:textId="6C85AFC4" w:rsidR="00773260" w:rsidRDefault="00773260" w:rsidP="00773260">
      <w:r>
        <w:t xml:space="preserve">De igual forma, deberá diligenciar el formato “Declaración de Conflictos de Interés” en el Sistema de Información Distrital del Empleo y la Administración Pública – SIDEAP, o el que lo modifique o sustituya, en aras de salvaguardar el interés general propio de la función pública y evitar su conflicto con intereses particulares, conforme a lo establecido en la normativa vigente, incluyendo, entre otras, la Ley 2016 de 2020 (Código de Integridad del Servicio Público Colombiano), adoptado para el Distrito Capital mediante el Decreto Distrital 118 de 2018; la Ley 1952 de 2019, </w:t>
      </w:r>
      <w:r>
        <w:lastRenderedPageBreak/>
        <w:t>modificada por la Ley 2094 de 2021 (Código General Disciplinario); la Ley 1437 de 2011 (Código de Procedimiento Administrativo y de lo Contencioso Administrativo) y la Ley 190 de 1995 (Estatuto Anticorrupción).</w:t>
      </w:r>
    </w:p>
    <w:p w14:paraId="2A78C23F" w14:textId="5FB4F5C7" w:rsidR="00773260" w:rsidRDefault="00773260" w:rsidP="00773260">
      <w:r>
        <w:t>Como requisito dentro del proceso de contratación, durante la etapa de revisión documental previa a la suscripción del contrato, los profesionales responsables del componente contractual en cada Subdirección deberán verificar la información consignada en los formatos de “Declaración de Bienes y Rentas y Registro de Conflictos de Interés” y “Declaración de Conflictos de Interés”, con el fin de identificar la existencia de situaciones reales o potenciales que puedan constituir conflicto de interés.</w:t>
      </w:r>
    </w:p>
    <w:p w14:paraId="7B7C50F3" w14:textId="1297D9FC" w:rsidR="00773260" w:rsidRDefault="00097EC2" w:rsidP="00773260">
      <w:r w:rsidRPr="00097EC2">
        <w:t>En caso de identificarse alguna situación de esta naturaleza durante la ejecución de la presente etapa, esta deberá ser informada de manera oportuna mediante correo electrónico al Subdirector respectivo, con el fin de que se evalúe el caso y se adopten las decisiones correspondientes. En tanto se surte dicha evaluación, el proceso precontractual para el contratista involucrado quedará suspendido</w:t>
      </w:r>
      <w:r>
        <w:t>.</w:t>
      </w:r>
    </w:p>
    <w:p w14:paraId="330DFEA8" w14:textId="4AB5C587" w:rsidR="000F4E6D" w:rsidRDefault="000F4E6D">
      <w:pPr>
        <w:pStyle w:val="Ttulo2"/>
        <w:numPr>
          <w:ilvl w:val="1"/>
          <w:numId w:val="7"/>
        </w:numPr>
        <w:spacing w:line="240" w:lineRule="auto"/>
        <w:ind w:left="720"/>
      </w:pPr>
      <w:r>
        <w:t xml:space="preserve">Firma </w:t>
      </w:r>
      <w:r w:rsidR="00865072">
        <w:t>del acuerdo</w:t>
      </w:r>
      <w:r>
        <w:t xml:space="preserve"> de confidencialidad e imparcialidad</w:t>
      </w:r>
    </w:p>
    <w:p w14:paraId="4C4D8CBF" w14:textId="77777777" w:rsidR="000F4E6D" w:rsidRDefault="000F4E6D" w:rsidP="000F4E6D"/>
    <w:p w14:paraId="19618BD2" w14:textId="778FFCAB" w:rsidR="00865072" w:rsidRDefault="00865072" w:rsidP="000F4E6D">
      <w:r>
        <w:t>Con el fin de evitar influencias internas o externas que afecten la transparencia del desarrollo de las actividades de laboratorio</w:t>
      </w:r>
      <w:r w:rsidR="00FB7273">
        <w:t xml:space="preserve">, generen desconfianza en la actividad pública y afecten el funcionamiento de la administración pública, se debe firmar el documento Acuerdo de Confidencialidad e Imparcialidad XXXXXX. Este documento debe ser firmado por el personal involucrado en las actividades de laboratorio, en las siguientes situaciones:  </w:t>
      </w:r>
    </w:p>
    <w:p w14:paraId="655ED94C" w14:textId="3243C39B" w:rsidR="00FB7273" w:rsidRDefault="00FB7273" w:rsidP="00FB7273">
      <w:pPr>
        <w:pStyle w:val="Prrafodelista"/>
        <w:numPr>
          <w:ilvl w:val="0"/>
          <w:numId w:val="8"/>
        </w:numPr>
      </w:pPr>
      <w:r>
        <w:t>Ingreso de personal: los contratistas deberán firmar el Acuerdo de confidencialidad e imparcialidad al inicio del contrato. Este acuerdo tendrá vigencia anual, por lo que en los casos donde haya prórroga de los contratos, no será necesario firmar nuevamente el documento en mención, dado que este se mantiene vigente en el período contractual. Los funcionarios deberán firmar el Acuerdo de confidencialidad</w:t>
      </w:r>
      <w:r w:rsidR="001E13EE">
        <w:t xml:space="preserve"> una única vez, manteniéndose vigente durante el período de este tipo de vinculación a la Secretaría Distrital de Ambiente.</w:t>
      </w:r>
    </w:p>
    <w:p w14:paraId="37A99E84" w14:textId="77777777" w:rsidR="001E13EE" w:rsidRDefault="001E13EE" w:rsidP="00FB7273">
      <w:pPr>
        <w:pStyle w:val="Prrafodelista"/>
        <w:numPr>
          <w:ilvl w:val="0"/>
          <w:numId w:val="8"/>
        </w:numPr>
      </w:pPr>
      <w:r>
        <w:t xml:space="preserve">Auditoría interna o externa: cuando se lleven a cabo auditorías internas o externas a las actividades de laboratorio de la Secretaria Distrital de Ambiente bajo la norma ISO/IEC 17025 en su versión vigente, o aquella que modifique o sustituya, los auditores deberán firmar el Documento XXX Acuerdo de Confidencialidad e Imparcialidad, antes de iniciar la auditoría. </w:t>
      </w:r>
    </w:p>
    <w:p w14:paraId="3CB7B6A0" w14:textId="275044D1" w:rsidR="000F4E6D" w:rsidRPr="000F4E6D" w:rsidRDefault="001E13EE" w:rsidP="000F4E6D">
      <w:pPr>
        <w:pStyle w:val="Prrafodelista"/>
        <w:numPr>
          <w:ilvl w:val="0"/>
          <w:numId w:val="8"/>
        </w:numPr>
      </w:pPr>
      <w:r>
        <w:t>Solicitud de información confidencial requerida por autoridades competentes.</w:t>
      </w:r>
    </w:p>
    <w:p w14:paraId="79D4FDB0" w14:textId="7435125A" w:rsidR="000D6C91" w:rsidRDefault="007F7B33">
      <w:pPr>
        <w:pStyle w:val="Ttulo2"/>
        <w:numPr>
          <w:ilvl w:val="1"/>
          <w:numId w:val="7"/>
        </w:numPr>
        <w:spacing w:line="240" w:lineRule="auto"/>
        <w:ind w:left="720"/>
      </w:pPr>
      <w:r>
        <w:t>Identificación de Conflictos de Interés</w:t>
      </w:r>
      <w:r w:rsidR="000F4E6D">
        <w:t xml:space="preserve"> en el ejercicio de las actividades</w:t>
      </w:r>
    </w:p>
    <w:p w14:paraId="6F66FDD1" w14:textId="77777777" w:rsidR="00216A0E" w:rsidRPr="00216A0E" w:rsidRDefault="00216A0E" w:rsidP="00216A0E">
      <w:pPr>
        <w:spacing w:before="100" w:beforeAutospacing="1" w:after="100" w:afterAutospacing="1" w:line="240" w:lineRule="auto"/>
        <w:jc w:val="left"/>
        <w:rPr>
          <w:rFonts w:eastAsia="Times New Roman"/>
          <w:lang w:eastAsia="es-MX"/>
        </w:rPr>
      </w:pPr>
      <w:r w:rsidRPr="00216A0E">
        <w:rPr>
          <w:rFonts w:eastAsia="Times New Roman"/>
          <w:lang w:eastAsia="es-MX"/>
        </w:rPr>
        <w:t>Se consideran situaciones potenciales de conflicto de interés aquellas en las que el personal del laboratorio, directa o indirectamente, pueda ver comprometida su imparcialidad. Estas incluyen, pero no se limitan a:</w:t>
      </w:r>
    </w:p>
    <w:p w14:paraId="5D243236" w14:textId="75C9AD2D" w:rsidR="00216A0E" w:rsidRPr="00216A0E" w:rsidRDefault="00216A0E" w:rsidP="00216A0E">
      <w:pPr>
        <w:numPr>
          <w:ilvl w:val="0"/>
          <w:numId w:val="12"/>
        </w:numPr>
        <w:spacing w:before="100" w:beforeAutospacing="1" w:after="100" w:afterAutospacing="1" w:line="240" w:lineRule="auto"/>
        <w:rPr>
          <w:rFonts w:eastAsia="Times New Roman"/>
          <w:lang w:eastAsia="es-MX"/>
        </w:rPr>
      </w:pPr>
      <w:r w:rsidRPr="00216A0E">
        <w:rPr>
          <w:rFonts w:eastAsia="Times New Roman"/>
          <w:b/>
          <w:bCs/>
          <w:lang w:eastAsia="es-MX"/>
        </w:rPr>
        <w:lastRenderedPageBreak/>
        <w:t>Participación en actividades técnicas con partes relacionadas</w:t>
      </w:r>
      <w:r>
        <w:rPr>
          <w:rFonts w:eastAsia="Times New Roman"/>
          <w:lang w:eastAsia="es-MX"/>
        </w:rPr>
        <w:t>: c</w:t>
      </w:r>
      <w:r w:rsidRPr="00216A0E">
        <w:rPr>
          <w:rFonts w:eastAsia="Times New Roman"/>
          <w:lang w:eastAsia="es-MX"/>
        </w:rPr>
        <w:t xml:space="preserve">uando el personal interviene en actividades técnicas asociadas a organizaciones con las cuales mantiene relaciones personales, familiares o intereses económicos que puedan influir en su objetividad. </w:t>
      </w:r>
    </w:p>
    <w:p w14:paraId="50A7220D" w14:textId="0AA13370" w:rsidR="00216A0E" w:rsidRPr="00216A0E" w:rsidRDefault="00216A0E" w:rsidP="00216A0E">
      <w:pPr>
        <w:numPr>
          <w:ilvl w:val="0"/>
          <w:numId w:val="12"/>
        </w:numPr>
        <w:spacing w:before="100" w:beforeAutospacing="1" w:after="100" w:afterAutospacing="1" w:line="240" w:lineRule="auto"/>
        <w:rPr>
          <w:rFonts w:eastAsia="Times New Roman"/>
          <w:lang w:eastAsia="es-MX"/>
        </w:rPr>
      </w:pPr>
      <w:r w:rsidRPr="00216A0E">
        <w:rPr>
          <w:rFonts w:eastAsia="Times New Roman"/>
          <w:b/>
          <w:bCs/>
          <w:lang w:eastAsia="es-MX"/>
        </w:rPr>
        <w:t>Evaluación de trabajos propios</w:t>
      </w:r>
      <w:r>
        <w:rPr>
          <w:rFonts w:eastAsia="Times New Roman"/>
          <w:lang w:eastAsia="es-MX"/>
        </w:rPr>
        <w:t>: c</w:t>
      </w:r>
      <w:r w:rsidRPr="00216A0E">
        <w:rPr>
          <w:rFonts w:eastAsia="Times New Roman"/>
          <w:lang w:eastAsia="es-MX"/>
        </w:rPr>
        <w:t xml:space="preserve">uando el personal participa en la revisión, verificación o validación de actividades, resultados o procesos en los que haya intervenido previamente. </w:t>
      </w:r>
    </w:p>
    <w:p w14:paraId="36D21DCC" w14:textId="3D50E628" w:rsidR="00216A0E" w:rsidRPr="00216A0E" w:rsidRDefault="00216A0E" w:rsidP="00216A0E">
      <w:pPr>
        <w:numPr>
          <w:ilvl w:val="0"/>
          <w:numId w:val="12"/>
        </w:numPr>
        <w:spacing w:before="100" w:beforeAutospacing="1" w:after="100" w:afterAutospacing="1" w:line="240" w:lineRule="auto"/>
        <w:rPr>
          <w:rFonts w:eastAsia="Times New Roman"/>
          <w:lang w:eastAsia="es-MX"/>
        </w:rPr>
      </w:pPr>
      <w:r w:rsidRPr="00216A0E">
        <w:rPr>
          <w:rFonts w:eastAsia="Times New Roman"/>
          <w:b/>
          <w:bCs/>
          <w:lang w:eastAsia="es-MX"/>
        </w:rPr>
        <w:t>Recepción de beneficios o incentivos</w:t>
      </w:r>
      <w:r>
        <w:rPr>
          <w:rFonts w:eastAsia="Times New Roman"/>
          <w:lang w:eastAsia="es-MX"/>
        </w:rPr>
        <w:t>: c</w:t>
      </w:r>
      <w:r w:rsidRPr="00216A0E">
        <w:rPr>
          <w:rFonts w:eastAsia="Times New Roman"/>
          <w:lang w:eastAsia="es-MX"/>
        </w:rPr>
        <w:t xml:space="preserve">uando se reciben obsequios, beneficios, incentivos o cualquier tipo de dádiva que pueda influir, o percibirse que influye, en la toma de decisiones técnicas o administrativas. </w:t>
      </w:r>
    </w:p>
    <w:p w14:paraId="35CDE31E" w14:textId="15F7E6E8" w:rsidR="00216A0E" w:rsidRPr="00216A0E" w:rsidRDefault="00216A0E" w:rsidP="00216A0E">
      <w:pPr>
        <w:numPr>
          <w:ilvl w:val="0"/>
          <w:numId w:val="12"/>
        </w:numPr>
        <w:spacing w:before="100" w:beforeAutospacing="1" w:after="100" w:afterAutospacing="1" w:line="240" w:lineRule="auto"/>
        <w:rPr>
          <w:rFonts w:eastAsia="Times New Roman"/>
          <w:lang w:eastAsia="es-MX"/>
        </w:rPr>
      </w:pPr>
      <w:r w:rsidRPr="00216A0E">
        <w:rPr>
          <w:rFonts w:eastAsia="Times New Roman"/>
          <w:b/>
          <w:bCs/>
          <w:lang w:eastAsia="es-MX"/>
        </w:rPr>
        <w:t>Participación en proyectos externos</w:t>
      </w:r>
      <w:r>
        <w:rPr>
          <w:rFonts w:eastAsia="Times New Roman"/>
          <w:lang w:eastAsia="es-MX"/>
        </w:rPr>
        <w:t>: c</w:t>
      </w:r>
      <w:r w:rsidRPr="00216A0E">
        <w:rPr>
          <w:rFonts w:eastAsia="Times New Roman"/>
          <w:lang w:eastAsia="es-MX"/>
        </w:rPr>
        <w:t xml:space="preserve">uando el personal participa en proyectos, actividades o servicios externos que puedan afectar su independencia y objetividad en el desarrollo de sus funciones dentro del laboratorio. </w:t>
      </w:r>
    </w:p>
    <w:p w14:paraId="368EBEBB" w14:textId="44835E96" w:rsidR="00216A0E" w:rsidRPr="00216A0E" w:rsidRDefault="00216A0E" w:rsidP="00216A0E">
      <w:pPr>
        <w:numPr>
          <w:ilvl w:val="0"/>
          <w:numId w:val="12"/>
        </w:numPr>
        <w:spacing w:before="100" w:beforeAutospacing="1" w:after="100" w:afterAutospacing="1" w:line="240" w:lineRule="auto"/>
        <w:rPr>
          <w:rFonts w:eastAsia="Times New Roman"/>
          <w:lang w:eastAsia="es-MX"/>
        </w:rPr>
      </w:pPr>
      <w:r w:rsidRPr="00216A0E">
        <w:rPr>
          <w:rFonts w:eastAsia="Times New Roman"/>
          <w:b/>
          <w:bCs/>
          <w:lang w:eastAsia="es-MX"/>
        </w:rPr>
        <w:t>Relaciones laborales con entidades evaluadas</w:t>
      </w:r>
      <w:r>
        <w:rPr>
          <w:rFonts w:eastAsia="Times New Roman"/>
          <w:lang w:eastAsia="es-MX"/>
        </w:rPr>
        <w:t>: c</w:t>
      </w:r>
      <w:r w:rsidRPr="00216A0E">
        <w:rPr>
          <w:rFonts w:eastAsia="Times New Roman"/>
          <w:lang w:eastAsia="es-MX"/>
        </w:rPr>
        <w:t xml:space="preserve">uando el personal mantiene o ha mantenido vínculos laborales, contractuales o de asesoría con organizaciones que son objeto de evaluación, muestreo o seguimiento por parte del laboratorio. </w:t>
      </w:r>
    </w:p>
    <w:p w14:paraId="1D37D4B1" w14:textId="35EA599C" w:rsidR="00216A0E" w:rsidRPr="00216A0E" w:rsidRDefault="00216A0E" w:rsidP="00216A0E">
      <w:pPr>
        <w:numPr>
          <w:ilvl w:val="0"/>
          <w:numId w:val="12"/>
        </w:numPr>
        <w:spacing w:before="100" w:beforeAutospacing="1" w:after="100" w:afterAutospacing="1" w:line="240" w:lineRule="auto"/>
        <w:rPr>
          <w:rFonts w:eastAsia="Times New Roman"/>
          <w:lang w:eastAsia="es-MX"/>
        </w:rPr>
      </w:pPr>
      <w:r w:rsidRPr="00216A0E">
        <w:rPr>
          <w:rFonts w:eastAsia="Times New Roman"/>
          <w:b/>
          <w:bCs/>
          <w:lang w:eastAsia="es-MX"/>
        </w:rPr>
        <w:t>Intereses económicos relacionados</w:t>
      </w:r>
      <w:r>
        <w:rPr>
          <w:rFonts w:eastAsia="Times New Roman"/>
          <w:lang w:eastAsia="es-MX"/>
        </w:rPr>
        <w:t>: c</w:t>
      </w:r>
      <w:r w:rsidRPr="00216A0E">
        <w:rPr>
          <w:rFonts w:eastAsia="Times New Roman"/>
          <w:lang w:eastAsia="es-MX"/>
        </w:rPr>
        <w:t xml:space="preserve">uando el personal posee intereses financieros, inversiones o participación en empresas u organizaciones relacionadas con las actividades evaluadas por el laboratorio. </w:t>
      </w:r>
    </w:p>
    <w:p w14:paraId="01E74C18" w14:textId="3808F00A" w:rsidR="00216A0E" w:rsidRPr="00216A0E" w:rsidRDefault="00216A0E" w:rsidP="00216A0E">
      <w:pPr>
        <w:numPr>
          <w:ilvl w:val="0"/>
          <w:numId w:val="12"/>
        </w:numPr>
        <w:spacing w:before="100" w:beforeAutospacing="1" w:after="100" w:afterAutospacing="1" w:line="240" w:lineRule="auto"/>
        <w:rPr>
          <w:rFonts w:eastAsia="Times New Roman"/>
          <w:lang w:eastAsia="es-MX"/>
        </w:rPr>
      </w:pPr>
      <w:r w:rsidRPr="00216A0E">
        <w:rPr>
          <w:rFonts w:eastAsia="Times New Roman"/>
          <w:b/>
          <w:bCs/>
          <w:lang w:eastAsia="es-MX"/>
        </w:rPr>
        <w:t>Relación con laboratorios subcontratados</w:t>
      </w:r>
      <w:r>
        <w:rPr>
          <w:rFonts w:eastAsia="Times New Roman"/>
          <w:lang w:eastAsia="es-MX"/>
        </w:rPr>
        <w:t>: c</w:t>
      </w:r>
      <w:r w:rsidRPr="00216A0E">
        <w:rPr>
          <w:rFonts w:eastAsia="Times New Roman"/>
          <w:lang w:eastAsia="es-MX"/>
        </w:rPr>
        <w:t xml:space="preserve">uando existen vínculos personales, laborales o económicos con laboratorios subcontratados para la ejecución de actividades de medición, que puedan afectar la objetividad en su selección, evaluación o seguimiento. </w:t>
      </w:r>
    </w:p>
    <w:p w14:paraId="215ED444" w14:textId="2178F3B2" w:rsidR="00216A0E" w:rsidRPr="00216A0E" w:rsidRDefault="00216A0E" w:rsidP="00216A0E">
      <w:pPr>
        <w:numPr>
          <w:ilvl w:val="0"/>
          <w:numId w:val="12"/>
        </w:numPr>
        <w:spacing w:before="100" w:beforeAutospacing="1" w:after="100" w:afterAutospacing="1" w:line="240" w:lineRule="auto"/>
        <w:rPr>
          <w:rFonts w:eastAsia="Times New Roman"/>
          <w:lang w:eastAsia="es-MX"/>
        </w:rPr>
      </w:pPr>
      <w:r w:rsidRPr="00216A0E">
        <w:rPr>
          <w:rFonts w:eastAsia="Times New Roman"/>
          <w:b/>
          <w:bCs/>
          <w:lang w:eastAsia="es-MX"/>
        </w:rPr>
        <w:t>Prestación de servicios de consultoría al mismo cliente</w:t>
      </w:r>
      <w:r>
        <w:rPr>
          <w:rFonts w:eastAsia="Times New Roman"/>
          <w:lang w:eastAsia="es-MX"/>
        </w:rPr>
        <w:t>: c</w:t>
      </w:r>
      <w:r w:rsidRPr="00216A0E">
        <w:rPr>
          <w:rFonts w:eastAsia="Times New Roman"/>
          <w:lang w:eastAsia="es-MX"/>
        </w:rPr>
        <w:t>uando el personal participa en actividades de consultoría, asesoría o acompañamiento técnico para un cliente que simultáneamente es objeto de muestreo, evaluación o seguimiento por parte del laboratorio, en temas relacionados.</w:t>
      </w:r>
    </w:p>
    <w:p w14:paraId="631687CA" w14:textId="76B19B70" w:rsidR="001E13EE" w:rsidRPr="007F7B33" w:rsidRDefault="00216A0E" w:rsidP="007F7B33">
      <w:r>
        <w:t xml:space="preserve">Antes de realizar las actividades de laboratorio, el personal deberá identificar </w:t>
      </w:r>
      <w:r w:rsidR="00FC2D86">
        <w:t xml:space="preserve">si se encuentra o no en una situación de conflicto de interés, según lo descrito anteriormente. En caso de identificar un conflicto de interés potencial, este deberá ser declarado según las actividades descritas a continuación.  </w:t>
      </w:r>
    </w:p>
    <w:p w14:paraId="408FA4DC" w14:textId="4DC16972" w:rsidR="000D6C91" w:rsidRDefault="007F7B33">
      <w:pPr>
        <w:pStyle w:val="Ttulo2"/>
        <w:numPr>
          <w:ilvl w:val="1"/>
          <w:numId w:val="7"/>
        </w:numPr>
        <w:spacing w:line="240" w:lineRule="auto"/>
      </w:pPr>
      <w:r>
        <w:t>Declaración del conflicto de interés</w:t>
      </w:r>
    </w:p>
    <w:p w14:paraId="61B459B2" w14:textId="77777777" w:rsidR="000D6C91" w:rsidRDefault="000D6C91">
      <w:pPr>
        <w:pBdr>
          <w:top w:val="nil"/>
          <w:left w:val="nil"/>
          <w:bottom w:val="nil"/>
          <w:right w:val="nil"/>
          <w:between w:val="nil"/>
        </w:pBdr>
        <w:spacing w:after="0" w:line="240" w:lineRule="auto"/>
        <w:rPr>
          <w:color w:val="000000"/>
        </w:rPr>
      </w:pPr>
    </w:p>
    <w:p w14:paraId="0B78D2D8" w14:textId="77777777" w:rsidR="00FC2D86" w:rsidRDefault="007F7B33" w:rsidP="00FC2D86">
      <w:pPr>
        <w:pBdr>
          <w:top w:val="nil"/>
          <w:left w:val="nil"/>
          <w:bottom w:val="nil"/>
          <w:right w:val="nil"/>
          <w:between w:val="nil"/>
        </w:pBdr>
        <w:spacing w:after="0" w:line="240" w:lineRule="auto"/>
        <w:rPr>
          <w:color w:val="000000"/>
        </w:rPr>
      </w:pPr>
      <w:r w:rsidRPr="007F7B33">
        <w:rPr>
          <w:color w:val="000000"/>
        </w:rPr>
        <w:t>Cuando se identifique un posible conflicto de interés, el personal deberá</w:t>
      </w:r>
      <w:r w:rsidR="00FC2D86">
        <w:rPr>
          <w:color w:val="000000"/>
        </w:rPr>
        <w:t xml:space="preserve"> i</w:t>
      </w:r>
      <w:r w:rsidR="00FC2D86" w:rsidRPr="00FC2D86">
        <w:rPr>
          <w:color w:val="000000"/>
        </w:rPr>
        <w:t xml:space="preserve">nformar de manera inmediata la situación al Profesional Responsable del Área Técnica, al Enlace de Calidad y Metrología, al Subdirector respectivo y al Enlace de Calidad de la DCA, mediante comunicación escrita en la que se describa de forma clara, objetiva y detallada la situación identificada, incluyendo: </w:t>
      </w:r>
    </w:p>
    <w:p w14:paraId="0CFA703B" w14:textId="7EB02DB8" w:rsidR="00FC2D86" w:rsidRPr="00FC2D86" w:rsidRDefault="00FC2D86" w:rsidP="00FC2D86">
      <w:pPr>
        <w:pStyle w:val="Prrafodelista"/>
        <w:numPr>
          <w:ilvl w:val="0"/>
          <w:numId w:val="14"/>
        </w:numPr>
        <w:pBdr>
          <w:top w:val="nil"/>
          <w:left w:val="nil"/>
          <w:bottom w:val="nil"/>
          <w:right w:val="nil"/>
          <w:between w:val="nil"/>
        </w:pBdr>
        <w:spacing w:after="0" w:line="240" w:lineRule="auto"/>
        <w:rPr>
          <w:color w:val="000000"/>
        </w:rPr>
      </w:pPr>
      <w:r w:rsidRPr="00FC2D86">
        <w:rPr>
          <w:color w:val="000000"/>
        </w:rPr>
        <w:t xml:space="preserve">la descripción de los hechos, </w:t>
      </w:r>
    </w:p>
    <w:p w14:paraId="0C827FFB" w14:textId="77777777" w:rsidR="00FC2D86" w:rsidRDefault="00FC2D86" w:rsidP="00FC2D86">
      <w:pPr>
        <w:pStyle w:val="Prrafodelista"/>
        <w:numPr>
          <w:ilvl w:val="0"/>
          <w:numId w:val="14"/>
        </w:numPr>
        <w:pBdr>
          <w:top w:val="nil"/>
          <w:left w:val="nil"/>
          <w:bottom w:val="nil"/>
          <w:right w:val="nil"/>
          <w:between w:val="nil"/>
        </w:pBdr>
        <w:spacing w:after="0" w:line="240" w:lineRule="auto"/>
        <w:rPr>
          <w:color w:val="000000"/>
        </w:rPr>
      </w:pPr>
      <w:r w:rsidRPr="00FC2D86">
        <w:rPr>
          <w:color w:val="000000"/>
        </w:rPr>
        <w:t xml:space="preserve">las circunstancias que la originan, </w:t>
      </w:r>
    </w:p>
    <w:p w14:paraId="1E43F00A" w14:textId="77777777" w:rsidR="00FC2D86" w:rsidRDefault="00FC2D86" w:rsidP="00FC2D86">
      <w:pPr>
        <w:pStyle w:val="Prrafodelista"/>
        <w:numPr>
          <w:ilvl w:val="0"/>
          <w:numId w:val="14"/>
        </w:numPr>
        <w:pBdr>
          <w:top w:val="nil"/>
          <w:left w:val="nil"/>
          <w:bottom w:val="nil"/>
          <w:right w:val="nil"/>
          <w:between w:val="nil"/>
        </w:pBdr>
        <w:spacing w:after="0" w:line="240" w:lineRule="auto"/>
        <w:rPr>
          <w:color w:val="000000"/>
        </w:rPr>
      </w:pPr>
      <w:r w:rsidRPr="00FC2D86">
        <w:rPr>
          <w:color w:val="000000"/>
        </w:rPr>
        <w:t xml:space="preserve">las partes involucradas, </w:t>
      </w:r>
    </w:p>
    <w:p w14:paraId="58C6DF17" w14:textId="465A3CF2" w:rsidR="00FC2D86" w:rsidRDefault="00FC2D86" w:rsidP="00FC2D86">
      <w:pPr>
        <w:pStyle w:val="Prrafodelista"/>
        <w:numPr>
          <w:ilvl w:val="0"/>
          <w:numId w:val="14"/>
        </w:numPr>
        <w:pBdr>
          <w:top w:val="nil"/>
          <w:left w:val="nil"/>
          <w:bottom w:val="nil"/>
          <w:right w:val="nil"/>
          <w:between w:val="nil"/>
        </w:pBdr>
        <w:spacing w:after="0" w:line="240" w:lineRule="auto"/>
        <w:rPr>
          <w:color w:val="000000"/>
        </w:rPr>
      </w:pPr>
      <w:r w:rsidRPr="00FC2D86">
        <w:rPr>
          <w:color w:val="000000"/>
        </w:rPr>
        <w:t>el tipo de relación existente y</w:t>
      </w:r>
      <w:r>
        <w:rPr>
          <w:color w:val="000000"/>
        </w:rPr>
        <w:t>,</w:t>
      </w:r>
    </w:p>
    <w:p w14:paraId="1BDFD2DA" w14:textId="3EAB9D85" w:rsidR="007F7B33" w:rsidRDefault="00FC2D86" w:rsidP="00FC2D86">
      <w:pPr>
        <w:pStyle w:val="Prrafodelista"/>
        <w:numPr>
          <w:ilvl w:val="0"/>
          <w:numId w:val="14"/>
        </w:numPr>
        <w:pBdr>
          <w:top w:val="nil"/>
          <w:left w:val="nil"/>
          <w:bottom w:val="nil"/>
          <w:right w:val="nil"/>
          <w:between w:val="nil"/>
        </w:pBdr>
        <w:spacing w:after="0" w:line="240" w:lineRule="auto"/>
        <w:rPr>
          <w:color w:val="000000"/>
        </w:rPr>
      </w:pPr>
      <w:r w:rsidRPr="00FC2D86">
        <w:rPr>
          <w:color w:val="000000"/>
        </w:rPr>
        <w:t>el posible impacto sobre la imparcialidad, independencia y objetividad en el desarrollo de las actividades del laboratorio.</w:t>
      </w:r>
      <w:r w:rsidRPr="00FC2D86">
        <w:rPr>
          <w:color w:val="000000"/>
        </w:rPr>
        <w:t xml:space="preserve"> </w:t>
      </w:r>
    </w:p>
    <w:p w14:paraId="62A8A2FC" w14:textId="714C6A71" w:rsidR="00FC2D86" w:rsidRDefault="00FC2D86" w:rsidP="00FC2D86">
      <w:pPr>
        <w:pBdr>
          <w:top w:val="nil"/>
          <w:left w:val="nil"/>
          <w:bottom w:val="nil"/>
          <w:right w:val="nil"/>
          <w:between w:val="nil"/>
        </w:pBdr>
        <w:spacing w:after="0" w:line="240" w:lineRule="auto"/>
        <w:rPr>
          <w:color w:val="000000"/>
        </w:rPr>
      </w:pPr>
    </w:p>
    <w:p w14:paraId="5EE1F055" w14:textId="2AA98B53" w:rsidR="000D6C91" w:rsidRPr="0066168B" w:rsidRDefault="00FC2D86" w:rsidP="0066168B">
      <w:pPr>
        <w:pBdr>
          <w:top w:val="nil"/>
          <w:left w:val="nil"/>
          <w:bottom w:val="nil"/>
          <w:right w:val="nil"/>
          <w:between w:val="nil"/>
        </w:pBdr>
        <w:spacing w:after="0" w:line="240" w:lineRule="auto"/>
        <w:rPr>
          <w:color w:val="000000"/>
        </w:rPr>
      </w:pPr>
      <w:r>
        <w:rPr>
          <w:color w:val="000000"/>
        </w:rPr>
        <w:t>Esta deberá realizarse máximo dentro de los tres (3) días siguientes a la identificación del conflicto de interés potencia</w:t>
      </w:r>
      <w:r w:rsidR="00D1348A">
        <w:rPr>
          <w:color w:val="000000"/>
        </w:rPr>
        <w:t xml:space="preserve">l, teniendo en cuenta que el personal involucrado deberá </w:t>
      </w:r>
      <w:r w:rsidR="0066168B">
        <w:rPr>
          <w:color w:val="000000"/>
        </w:rPr>
        <w:t>a</w:t>
      </w:r>
      <w:r w:rsidR="007F7B33" w:rsidRPr="0066168B">
        <w:rPr>
          <w:color w:val="000000"/>
        </w:rPr>
        <w:t xml:space="preserve">bstenerse de </w:t>
      </w:r>
      <w:r w:rsidR="0066168B">
        <w:rPr>
          <w:color w:val="000000"/>
        </w:rPr>
        <w:t>participar</w:t>
      </w:r>
      <w:r w:rsidR="007F7B33" w:rsidRPr="0066168B">
        <w:rPr>
          <w:color w:val="000000"/>
        </w:rPr>
        <w:t xml:space="preserve"> en </w:t>
      </w:r>
      <w:r w:rsidR="0066168B">
        <w:rPr>
          <w:color w:val="000000"/>
        </w:rPr>
        <w:t xml:space="preserve">el desarrollo de </w:t>
      </w:r>
      <w:r w:rsidR="007F7B33" w:rsidRPr="0066168B">
        <w:rPr>
          <w:color w:val="000000"/>
        </w:rPr>
        <w:t>la actividad</w:t>
      </w:r>
      <w:r w:rsidR="0066168B">
        <w:rPr>
          <w:color w:val="000000"/>
        </w:rPr>
        <w:t>, reuniones o</w:t>
      </w:r>
      <w:r w:rsidR="007F7B33" w:rsidRPr="0066168B">
        <w:rPr>
          <w:color w:val="000000"/>
        </w:rPr>
        <w:t xml:space="preserve"> </w:t>
      </w:r>
      <w:r w:rsidR="0066168B">
        <w:rPr>
          <w:color w:val="000000"/>
        </w:rPr>
        <w:t xml:space="preserve">cualquier actuación relacionada </w:t>
      </w:r>
      <w:r w:rsidR="007F7B33" w:rsidRPr="0066168B">
        <w:rPr>
          <w:color w:val="000000"/>
        </w:rPr>
        <w:t>hasta que se realice el análisis correspondiente.</w:t>
      </w:r>
    </w:p>
    <w:p w14:paraId="20AAFAC2" w14:textId="77777777" w:rsidR="007F7B33" w:rsidRDefault="007F7B33" w:rsidP="007F7B33">
      <w:pPr>
        <w:pBdr>
          <w:top w:val="nil"/>
          <w:left w:val="nil"/>
          <w:bottom w:val="nil"/>
          <w:right w:val="nil"/>
          <w:between w:val="nil"/>
        </w:pBdr>
        <w:spacing w:after="0" w:line="240" w:lineRule="auto"/>
        <w:rPr>
          <w:color w:val="000000"/>
        </w:rPr>
      </w:pPr>
    </w:p>
    <w:p w14:paraId="33E076C1" w14:textId="46BF46E6" w:rsidR="007F7B33" w:rsidRDefault="007F7B33" w:rsidP="007F7B33">
      <w:pPr>
        <w:pStyle w:val="Prrafodelista"/>
        <w:numPr>
          <w:ilvl w:val="1"/>
          <w:numId w:val="7"/>
        </w:numPr>
        <w:pBdr>
          <w:top w:val="nil"/>
          <w:left w:val="nil"/>
          <w:bottom w:val="nil"/>
          <w:right w:val="nil"/>
          <w:between w:val="nil"/>
        </w:pBdr>
        <w:spacing w:after="0" w:line="240" w:lineRule="auto"/>
        <w:rPr>
          <w:b/>
          <w:color w:val="000000"/>
        </w:rPr>
      </w:pPr>
      <w:r>
        <w:rPr>
          <w:b/>
          <w:color w:val="000000"/>
        </w:rPr>
        <w:t>Evaluación y Gestión del conflicto</w:t>
      </w:r>
    </w:p>
    <w:p w14:paraId="008CDC14" w14:textId="77777777" w:rsidR="007F7B33" w:rsidRDefault="007F7B33" w:rsidP="007F7B33">
      <w:pPr>
        <w:pStyle w:val="Prrafodelista"/>
        <w:pBdr>
          <w:top w:val="nil"/>
          <w:left w:val="nil"/>
          <w:bottom w:val="nil"/>
          <w:right w:val="nil"/>
          <w:between w:val="nil"/>
        </w:pBdr>
        <w:spacing w:after="0" w:line="240" w:lineRule="auto"/>
        <w:ind w:left="708"/>
        <w:rPr>
          <w:b/>
          <w:color w:val="000000"/>
        </w:rPr>
      </w:pPr>
    </w:p>
    <w:p w14:paraId="44F42564" w14:textId="29EECA06" w:rsidR="0006749F" w:rsidRDefault="0006749F" w:rsidP="0006749F">
      <w:r>
        <w:t>En un plazo máximo de diez (10) días hábiles contados a partir de la fecha de recepción de la declaración de conflicto de interés, el Profesional Responsable del Área Técnica, el Enlace de Calidad y Metrología</w:t>
      </w:r>
      <w:r w:rsidR="00F72227">
        <w:t xml:space="preserve"> correspondiente</w:t>
      </w:r>
      <w:r>
        <w:t>, el Subdirector respectivo y el Enlace de Calidad de la DCA deberán evaluar de manera conjunta la situación reportada, con base en la información suministrada por el declarante y, de ser necesario, en información adicional que se considere pertinente.</w:t>
      </w:r>
    </w:p>
    <w:p w14:paraId="11276EA1" w14:textId="0B49FEE0" w:rsidR="0006749F" w:rsidRDefault="0006749F" w:rsidP="0006749F">
      <w:r>
        <w:t>Como resultado de dicha evaluación, se deberá determinar la procedencia del impedimento y definir las acciones a implementar para gestionar el conflicto de interés, garantizando la imparcialidad, independencia y objetividad en el desarrollo de las actividades del laboratorio.</w:t>
      </w:r>
    </w:p>
    <w:p w14:paraId="2FE59BA8" w14:textId="30C38D53" w:rsidR="007F7B33" w:rsidRDefault="0006749F" w:rsidP="0006749F">
      <w:r>
        <w:t>Las medidas a adoptar podrán incluir, entre otras, las siguientes:</w:t>
      </w:r>
    </w:p>
    <w:p w14:paraId="3AFDEA53" w14:textId="77777777" w:rsidR="0006749F" w:rsidRDefault="0006749F" w:rsidP="0006749F">
      <w:pPr>
        <w:pStyle w:val="Prrafodelista"/>
        <w:numPr>
          <w:ilvl w:val="0"/>
          <w:numId w:val="15"/>
        </w:numPr>
      </w:pPr>
      <w:r>
        <w:t>Reasignación de actividades o responsabilidades.</w:t>
      </w:r>
    </w:p>
    <w:p w14:paraId="3A134972" w14:textId="77777777" w:rsidR="0006749F" w:rsidRDefault="0006749F" w:rsidP="0006749F">
      <w:pPr>
        <w:pStyle w:val="Prrafodelista"/>
        <w:numPr>
          <w:ilvl w:val="0"/>
          <w:numId w:val="15"/>
        </w:numPr>
      </w:pPr>
      <w:r>
        <w:t>Establecimiento de mecanismos de supervisión adicional sobre la actividad.</w:t>
      </w:r>
    </w:p>
    <w:p w14:paraId="10F56558" w14:textId="77777777" w:rsidR="0006749F" w:rsidRDefault="0006749F" w:rsidP="0006749F">
      <w:pPr>
        <w:pStyle w:val="Prrafodelista"/>
        <w:numPr>
          <w:ilvl w:val="0"/>
          <w:numId w:val="15"/>
        </w:numPr>
      </w:pPr>
      <w:r>
        <w:t>Exclusión o restricción de la participación del personal involucrado en la actividad específica.</w:t>
      </w:r>
    </w:p>
    <w:p w14:paraId="313DAD06" w14:textId="77777777" w:rsidR="0006749F" w:rsidRDefault="0006749F" w:rsidP="0006749F">
      <w:pPr>
        <w:pStyle w:val="Prrafodelista"/>
        <w:numPr>
          <w:ilvl w:val="0"/>
          <w:numId w:val="15"/>
        </w:numPr>
      </w:pPr>
      <w:r>
        <w:t>Suspensión temporal de actividades, cuando el nivel de riesgo lo amerite.</w:t>
      </w:r>
    </w:p>
    <w:p w14:paraId="262380AB" w14:textId="77777777" w:rsidR="0006749F" w:rsidRDefault="0006749F" w:rsidP="0006749F">
      <w:pPr>
        <w:pStyle w:val="Prrafodelista"/>
        <w:numPr>
          <w:ilvl w:val="0"/>
          <w:numId w:val="15"/>
        </w:numPr>
      </w:pPr>
      <w:r>
        <w:t>Revisión o validación independiente de las actividades o resultados asociados.</w:t>
      </w:r>
    </w:p>
    <w:p w14:paraId="3B0BF085" w14:textId="77777777" w:rsidR="0006749F" w:rsidRDefault="0006749F" w:rsidP="0006749F">
      <w:pPr>
        <w:pStyle w:val="Prrafodelista"/>
        <w:numPr>
          <w:ilvl w:val="0"/>
          <w:numId w:val="15"/>
        </w:numPr>
      </w:pPr>
      <w:r>
        <w:t>Registro, documentación y seguimiento del caso, incluyendo la evaluación del riesgo de imparcialidad.</w:t>
      </w:r>
    </w:p>
    <w:p w14:paraId="0E992A6F" w14:textId="0FA84ECD" w:rsidR="0006749F" w:rsidRDefault="0006749F" w:rsidP="0006749F">
      <w:pPr>
        <w:pStyle w:val="Prrafodelista"/>
        <w:numPr>
          <w:ilvl w:val="0"/>
          <w:numId w:val="15"/>
        </w:numPr>
      </w:pPr>
      <w:r>
        <w:t>Implementación de acciones preventivas orientadas a evitar la recurrencia del conflicto.</w:t>
      </w:r>
    </w:p>
    <w:p w14:paraId="2D435A0B" w14:textId="6B9B83F5" w:rsidR="0006749F" w:rsidRDefault="0006749F" w:rsidP="0006749F"/>
    <w:p w14:paraId="5C7045D6" w14:textId="0DF16749" w:rsidR="008A5EF4" w:rsidRDefault="008A5EF4" w:rsidP="008A5EF4">
      <w:r>
        <w:t xml:space="preserve">Cuando </w:t>
      </w:r>
      <w:r>
        <w:t>se presenta un</w:t>
      </w:r>
      <w:r>
        <w:t xml:space="preserve"> conflicto de interés </w:t>
      </w:r>
      <w:r>
        <w:t xml:space="preserve">real que </w:t>
      </w:r>
      <w:r>
        <w:t xml:space="preserve">no haya sido declarado oportunamente por el personal y sea identificado posteriormente por un tercero (interno o externo), </w:t>
      </w:r>
      <w:r>
        <w:t>este será tratado como un incumplimiento del Sistema de Gestión de la imparcialidad, y se</w:t>
      </w:r>
      <w:r>
        <w:t xml:space="preserve"> deberá gestionar la situación de manera inmediata, garantizando la protección de la imparcialidad y la confiabilidad de los resultados</w:t>
      </w:r>
      <w:r>
        <w:t>; para lo cual se adelantarán las siguientes acciones:</w:t>
      </w:r>
    </w:p>
    <w:p w14:paraId="458C8FAA" w14:textId="5E082C93" w:rsidR="008A5EF4" w:rsidRDefault="008A5EF4" w:rsidP="008A5EF4">
      <w:pPr>
        <w:pStyle w:val="Prrafodelista"/>
        <w:numPr>
          <w:ilvl w:val="0"/>
          <w:numId w:val="16"/>
        </w:numPr>
      </w:pPr>
      <w:r>
        <w:t>Registro y notificación inmediata</w:t>
      </w:r>
      <w:r>
        <w:t>: r</w:t>
      </w:r>
      <w:r>
        <w:t>egistrar la situación identificada como un potencial incumplimiento del requisito de imparcialidad</w:t>
      </w:r>
      <w:r>
        <w:t xml:space="preserve">, para lo cual se deberá iniciar la gestión de </w:t>
      </w:r>
      <w:r w:rsidR="00F72227">
        <w:t>la no conformidad</w:t>
      </w:r>
      <w:r>
        <w:t xml:space="preserve">. Asimismo, </w:t>
      </w:r>
      <w:r>
        <w:t xml:space="preserve">de manera inmediata </w:t>
      </w:r>
      <w:r>
        <w:t xml:space="preserve">se deberá notificar </w:t>
      </w:r>
      <w:r>
        <w:t>al Profesional Responsable del Área Técnica, al Enlace de Calidad y Metrología</w:t>
      </w:r>
      <w:r w:rsidR="00F72227">
        <w:t xml:space="preserve"> respectivo</w:t>
      </w:r>
      <w:r>
        <w:t>, al Subdirector respectivo</w:t>
      </w:r>
      <w:r>
        <w:t>,</w:t>
      </w:r>
      <w:r>
        <w:t xml:space="preserve"> al Enlace de Calidad de la DCA</w:t>
      </w:r>
      <w:r>
        <w:t xml:space="preserve"> y a la Oficina</w:t>
      </w:r>
      <w:r w:rsidR="00F13C32">
        <w:t xml:space="preserve"> de Control Interno</w:t>
      </w:r>
      <w:r>
        <w:t>.</w:t>
      </w:r>
    </w:p>
    <w:p w14:paraId="25524711" w14:textId="6BBD6AF6" w:rsidR="00F13C32" w:rsidRDefault="00F13C32" w:rsidP="00F13C32">
      <w:pPr>
        <w:pStyle w:val="Prrafodelista"/>
        <w:numPr>
          <w:ilvl w:val="0"/>
          <w:numId w:val="16"/>
        </w:numPr>
      </w:pPr>
      <w:r>
        <w:lastRenderedPageBreak/>
        <w:t>Evaluación del impacto</w:t>
      </w:r>
      <w:r>
        <w:t>: e</w:t>
      </w:r>
      <w:r>
        <w:t>valuar la situación con el fin de determinar:</w:t>
      </w:r>
    </w:p>
    <w:p w14:paraId="39676AD2" w14:textId="2C45D8B2" w:rsidR="00F13C32" w:rsidRDefault="00F13C32" w:rsidP="00F13C32">
      <w:pPr>
        <w:pStyle w:val="Prrafodelista"/>
        <w:numPr>
          <w:ilvl w:val="1"/>
          <w:numId w:val="12"/>
        </w:numPr>
      </w:pPr>
      <w:r>
        <w:t>El periodo durante el cual existió el conflicto de interés.</w:t>
      </w:r>
    </w:p>
    <w:p w14:paraId="4F79D7E0" w14:textId="0C8C84A0" w:rsidR="00F13C32" w:rsidRDefault="00F13C32" w:rsidP="00F13C32">
      <w:pPr>
        <w:pStyle w:val="Prrafodelista"/>
        <w:numPr>
          <w:ilvl w:val="1"/>
          <w:numId w:val="12"/>
        </w:numPr>
      </w:pPr>
      <w:r>
        <w:t>Las actividades</w:t>
      </w:r>
      <w:r>
        <w:t xml:space="preserve"> de laboratorio </w:t>
      </w:r>
      <w:r>
        <w:t>potencialmente afectad</w:t>
      </w:r>
      <w:r>
        <w:t>a</w:t>
      </w:r>
      <w:r>
        <w:t>s.</w:t>
      </w:r>
    </w:p>
    <w:p w14:paraId="1324F9B6" w14:textId="09BA2B81" w:rsidR="00F13C32" w:rsidRDefault="00F13C32" w:rsidP="00F72227">
      <w:pPr>
        <w:pStyle w:val="Prrafodelista"/>
        <w:numPr>
          <w:ilvl w:val="1"/>
          <w:numId w:val="12"/>
        </w:numPr>
      </w:pPr>
      <w:r>
        <w:t>El nivel de riesgo sobre la imparcialidad, independencia y validez de los resultados emitidos</w:t>
      </w:r>
    </w:p>
    <w:p w14:paraId="74F595CC" w14:textId="3EF191C4" w:rsidR="00F13C32" w:rsidRDefault="00F72227" w:rsidP="00F13C32">
      <w:pPr>
        <w:pStyle w:val="Prrafodelista"/>
        <w:numPr>
          <w:ilvl w:val="0"/>
          <w:numId w:val="16"/>
        </w:numPr>
      </w:pPr>
      <w:r>
        <w:t>Adopción de medidas inmediatas de control.</w:t>
      </w:r>
    </w:p>
    <w:p w14:paraId="62BE62BA" w14:textId="4EE73A5E" w:rsidR="008A5EF4" w:rsidRDefault="00F72227" w:rsidP="008A5EF4">
      <w:pPr>
        <w:pStyle w:val="Prrafodelista"/>
        <w:numPr>
          <w:ilvl w:val="0"/>
          <w:numId w:val="16"/>
        </w:numPr>
      </w:pPr>
      <w:r>
        <w:t>Revisión de resultados generados en el marco del conflicto de interés.</w:t>
      </w:r>
    </w:p>
    <w:p w14:paraId="4EB2A574" w14:textId="1F311085" w:rsidR="0006749F" w:rsidRDefault="00F72227" w:rsidP="0006749F">
      <w:pPr>
        <w:pStyle w:val="Prrafodelista"/>
        <w:numPr>
          <w:ilvl w:val="0"/>
          <w:numId w:val="16"/>
        </w:numPr>
      </w:pPr>
      <w:r>
        <w:t>Aplicación de acciones administrativas o disciplinarias conforme a la normativa aplicable.</w:t>
      </w:r>
    </w:p>
    <w:p w14:paraId="76E7ABE5" w14:textId="77777777" w:rsidR="00F72227" w:rsidRDefault="00F72227" w:rsidP="00F72227">
      <w:pPr>
        <w:pStyle w:val="Prrafodelista"/>
      </w:pPr>
    </w:p>
    <w:p w14:paraId="60B92C32" w14:textId="4C9FB0E1" w:rsidR="007F7B33" w:rsidRPr="007F7B33" w:rsidRDefault="007F7B33" w:rsidP="007F7B33">
      <w:pPr>
        <w:pStyle w:val="Prrafodelista"/>
        <w:numPr>
          <w:ilvl w:val="1"/>
          <w:numId w:val="7"/>
        </w:numPr>
        <w:rPr>
          <w:b/>
          <w:bCs/>
        </w:rPr>
      </w:pPr>
      <w:r w:rsidRPr="007F7B33">
        <w:rPr>
          <w:b/>
          <w:bCs/>
        </w:rPr>
        <w:t>Seguimiento</w:t>
      </w:r>
    </w:p>
    <w:p w14:paraId="0A8E4008" w14:textId="0816AE47" w:rsidR="00F72227" w:rsidRDefault="00F72227" w:rsidP="00F72227">
      <w:r>
        <w:t xml:space="preserve">El </w:t>
      </w:r>
      <w:r w:rsidRPr="00F72227">
        <w:t>Enlace de Calidad y Metrología</w:t>
      </w:r>
      <w:r w:rsidR="006065B7">
        <w:t xml:space="preserve"> correspondiente junto con el Enlace de Calidad de DCA</w:t>
      </w:r>
      <w:r w:rsidRPr="00F72227">
        <w:t xml:space="preserve"> </w:t>
      </w:r>
      <w:r>
        <w:t>realizará</w:t>
      </w:r>
      <w:r>
        <w:t>n el</w:t>
      </w:r>
      <w:r>
        <w:t xml:space="preserve"> seguimiento a las situaciones reportadas, verificando la implementación oportuna de las acciones definidas y evaluando la eficacia de las medidas adoptadas para eliminar o mitigar el riesgo identificado.</w:t>
      </w:r>
    </w:p>
    <w:p w14:paraId="0E1CB0B3" w14:textId="4C159002" w:rsidR="00F72227" w:rsidRDefault="00F72227" w:rsidP="00F72227">
      <w:r>
        <w:t>Dicho seguimiento deberá incluir la revisión de los compromisos establecidos, el cumplimiento de los plazos definidos y la verificación de que no se presenten recurrencias asociadas al conflicto de interés gestionado.</w:t>
      </w:r>
    </w:p>
    <w:p w14:paraId="69D01948" w14:textId="7242737E" w:rsidR="00F72227" w:rsidRDefault="00F72227" w:rsidP="00F72227">
      <w:r>
        <w:t>En caso de evidenciarse que las acciones implementadas no han sido eficaces, se deberán definir e implementar acciones adicionales o ajustes a las medidas adoptadas, asegurando el tratamiento adecuado de la situación.</w:t>
      </w:r>
    </w:p>
    <w:p w14:paraId="45298250" w14:textId="368A11F4" w:rsidR="007F7B33" w:rsidRPr="007F7B33" w:rsidRDefault="00F72227" w:rsidP="00F72227">
      <w:r>
        <w:t xml:space="preserve">Los resultados del seguimiento serán documentados y considerados como entrada para la revisión por la dirección, con el fin de evaluar el desempeño del sistema de gestión de la imparcialidad, identificar oportunidades de mejora y fortalecer la gestión de la imparcialidad </w:t>
      </w:r>
      <w:r w:rsidR="006065B7">
        <w:t>los laboratorios de la Secretaria Distrital de Ambiente.</w:t>
      </w:r>
    </w:p>
    <w:p w14:paraId="1CCDD196" w14:textId="77777777" w:rsidR="000D6C91" w:rsidRDefault="000D6C91">
      <w:pPr>
        <w:pStyle w:val="Ttulo3"/>
        <w:spacing w:before="0" w:line="240" w:lineRule="auto"/>
        <w:ind w:firstLine="360"/>
      </w:pPr>
    </w:p>
    <w:p w14:paraId="288F0890" w14:textId="77777777" w:rsidR="000D6C91" w:rsidRDefault="000D6C91">
      <w:pPr>
        <w:jc w:val="center"/>
      </w:pPr>
    </w:p>
    <w:p w14:paraId="12485003" w14:textId="77777777" w:rsidR="000D6C91" w:rsidRDefault="00C11F23">
      <w:pPr>
        <w:spacing w:line="240" w:lineRule="auto"/>
        <w:jc w:val="center"/>
        <w:rPr>
          <w:b/>
        </w:rPr>
      </w:pPr>
      <w:r>
        <w:rPr>
          <w:b/>
        </w:rPr>
        <w:t>FIN DEL DOCUMENTO</w:t>
      </w:r>
    </w:p>
    <w:p w14:paraId="7B323271" w14:textId="77777777" w:rsidR="000D6C91" w:rsidRDefault="000D6C91">
      <w:pPr>
        <w:spacing w:line="240" w:lineRule="auto"/>
      </w:pPr>
    </w:p>
    <w:p w14:paraId="4FC61176" w14:textId="77777777" w:rsidR="000D6C91" w:rsidRDefault="00C11F23">
      <w:pPr>
        <w:spacing w:line="240" w:lineRule="auto"/>
        <w:rPr>
          <w:b/>
        </w:rPr>
      </w:pPr>
      <w:r>
        <w:rPr>
          <w:b/>
        </w:rPr>
        <w:t>CONTROL DE CAMBIOS</w:t>
      </w:r>
    </w:p>
    <w:tbl>
      <w:tblPr>
        <w:tblStyle w:val="ac"/>
        <w:tblpPr w:leftFromText="141" w:rightFromText="141" w:vertAnchor="text" w:tblpXSpec="center" w:tblpY="1"/>
        <w:tblOverlap w:val="never"/>
        <w:tblW w:w="9292" w:type="dxa"/>
        <w:tblInd w:w="0" w:type="dxa"/>
        <w:tblLayout w:type="fixed"/>
        <w:tblLook w:val="0400" w:firstRow="0" w:lastRow="0" w:firstColumn="0" w:lastColumn="0" w:noHBand="0" w:noVBand="1"/>
      </w:tblPr>
      <w:tblGrid>
        <w:gridCol w:w="1188"/>
        <w:gridCol w:w="3485"/>
        <w:gridCol w:w="4619"/>
      </w:tblGrid>
      <w:tr w:rsidR="000D6C91" w:rsidRPr="005806AA" w14:paraId="27D2A556" w14:textId="77777777" w:rsidTr="005806AA">
        <w:trPr>
          <w:trHeight w:val="20"/>
          <w:tblHeader/>
        </w:trPr>
        <w:tc>
          <w:tcPr>
            <w:tcW w:w="118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C98B1CE" w14:textId="77777777" w:rsidR="000D6C91" w:rsidRPr="005806AA" w:rsidRDefault="00C11F23" w:rsidP="005806AA">
            <w:pPr>
              <w:widowControl w:val="0"/>
              <w:jc w:val="center"/>
              <w:rPr>
                <w:highlight w:val="none"/>
              </w:rPr>
            </w:pPr>
            <w:r w:rsidRPr="005806AA">
              <w:rPr>
                <w:b/>
                <w:highlight w:val="none"/>
              </w:rPr>
              <w:t>Versión</w:t>
            </w:r>
          </w:p>
        </w:tc>
        <w:tc>
          <w:tcPr>
            <w:tcW w:w="348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8EA3928" w14:textId="77777777" w:rsidR="000D6C91" w:rsidRPr="005806AA" w:rsidRDefault="00C11F23" w:rsidP="005806AA">
            <w:pPr>
              <w:widowControl w:val="0"/>
              <w:jc w:val="center"/>
              <w:rPr>
                <w:highlight w:val="none"/>
              </w:rPr>
            </w:pPr>
            <w:r w:rsidRPr="005806AA">
              <w:rPr>
                <w:b/>
                <w:highlight w:val="none"/>
              </w:rPr>
              <w:t>Descripción de la modificación</w:t>
            </w:r>
          </w:p>
        </w:tc>
        <w:tc>
          <w:tcPr>
            <w:tcW w:w="4619"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C9F56D3" w14:textId="77777777" w:rsidR="000D6C91" w:rsidRPr="005806AA" w:rsidRDefault="00C11F23" w:rsidP="005806AA">
            <w:pPr>
              <w:widowControl w:val="0"/>
              <w:jc w:val="center"/>
              <w:rPr>
                <w:highlight w:val="none"/>
              </w:rPr>
            </w:pPr>
            <w:r w:rsidRPr="005806AA">
              <w:rPr>
                <w:b/>
                <w:highlight w:val="none"/>
              </w:rPr>
              <w:t>Acto administrativo</w:t>
            </w:r>
          </w:p>
        </w:tc>
      </w:tr>
      <w:tr w:rsidR="000D6C91" w14:paraId="5BA75610" w14:textId="77777777" w:rsidTr="005806AA">
        <w:trPr>
          <w:trHeight w:val="455"/>
        </w:trPr>
        <w:tc>
          <w:tcPr>
            <w:tcW w:w="1188" w:type="dxa"/>
            <w:tcBorders>
              <w:top w:val="single" w:sz="4" w:space="0" w:color="000000"/>
              <w:left w:val="single" w:sz="4" w:space="0" w:color="000000"/>
              <w:bottom w:val="single" w:sz="4" w:space="0" w:color="000000"/>
              <w:right w:val="single" w:sz="4" w:space="0" w:color="000000"/>
            </w:tcBorders>
            <w:vAlign w:val="center"/>
          </w:tcPr>
          <w:p w14:paraId="571D8F0F" w14:textId="77777777" w:rsidR="000D6C91" w:rsidRDefault="00C11F23" w:rsidP="005806AA">
            <w:pPr>
              <w:pBdr>
                <w:top w:val="nil"/>
                <w:left w:val="nil"/>
                <w:bottom w:val="nil"/>
                <w:right w:val="nil"/>
                <w:between w:val="nil"/>
              </w:pBdr>
              <w:spacing w:after="0" w:line="240" w:lineRule="auto"/>
              <w:jc w:val="center"/>
              <w:rPr>
                <w:color w:val="000000"/>
              </w:rPr>
            </w:pPr>
            <w:r>
              <w:rPr>
                <w:color w:val="000000"/>
              </w:rPr>
              <w:t>1</w:t>
            </w:r>
          </w:p>
        </w:tc>
        <w:tc>
          <w:tcPr>
            <w:tcW w:w="3485" w:type="dxa"/>
            <w:tcBorders>
              <w:top w:val="single" w:sz="4" w:space="0" w:color="000000"/>
              <w:left w:val="single" w:sz="4" w:space="0" w:color="000000"/>
              <w:bottom w:val="single" w:sz="4" w:space="0" w:color="000000"/>
              <w:right w:val="single" w:sz="4" w:space="0" w:color="000000"/>
            </w:tcBorders>
            <w:vAlign w:val="center"/>
          </w:tcPr>
          <w:p w14:paraId="240622D8" w14:textId="77777777" w:rsidR="000D6C91" w:rsidRDefault="00C11F23" w:rsidP="005806AA">
            <w:pPr>
              <w:pBdr>
                <w:top w:val="nil"/>
                <w:left w:val="nil"/>
                <w:bottom w:val="nil"/>
                <w:right w:val="nil"/>
                <w:between w:val="nil"/>
              </w:pBdr>
              <w:spacing w:after="0" w:line="240" w:lineRule="auto"/>
              <w:jc w:val="center"/>
              <w:rPr>
                <w:color w:val="000000"/>
              </w:rPr>
            </w:pPr>
            <w:r>
              <w:rPr>
                <w:color w:val="000000"/>
              </w:rPr>
              <w:t>Adopción</w:t>
            </w:r>
          </w:p>
        </w:tc>
        <w:tc>
          <w:tcPr>
            <w:tcW w:w="4619" w:type="dxa"/>
            <w:tcBorders>
              <w:top w:val="single" w:sz="4" w:space="0" w:color="000000"/>
              <w:left w:val="single" w:sz="4" w:space="0" w:color="000000"/>
              <w:bottom w:val="single" w:sz="4" w:space="0" w:color="000000"/>
              <w:right w:val="single" w:sz="4" w:space="0" w:color="000000"/>
            </w:tcBorders>
            <w:vAlign w:val="center"/>
          </w:tcPr>
          <w:p w14:paraId="1A737DA1" w14:textId="6BA4DDFA" w:rsidR="000D6C91" w:rsidRDefault="000D6C91" w:rsidP="005806AA">
            <w:pPr>
              <w:pBdr>
                <w:top w:val="nil"/>
                <w:left w:val="nil"/>
                <w:bottom w:val="nil"/>
                <w:right w:val="nil"/>
                <w:between w:val="nil"/>
              </w:pBdr>
              <w:spacing w:after="0" w:line="240" w:lineRule="auto"/>
              <w:jc w:val="center"/>
              <w:rPr>
                <w:color w:val="000000"/>
              </w:rPr>
            </w:pPr>
          </w:p>
        </w:tc>
      </w:tr>
    </w:tbl>
    <w:p w14:paraId="6CA8577A" w14:textId="6E1B89F4" w:rsidR="000D6C91" w:rsidRDefault="005806AA">
      <w:pPr>
        <w:spacing w:line="240" w:lineRule="auto"/>
      </w:pPr>
      <w:r>
        <w:br w:type="textWrapping" w:clear="all"/>
      </w:r>
    </w:p>
    <w:p w14:paraId="1130DFDB" w14:textId="77777777" w:rsidR="000D6C91" w:rsidRDefault="00C11F23">
      <w:pPr>
        <w:spacing w:line="240" w:lineRule="auto"/>
        <w:rPr>
          <w:b/>
        </w:rPr>
      </w:pPr>
      <w:r>
        <w:rPr>
          <w:b/>
        </w:rPr>
        <w:t>RESPONSABLES DE ELABORAR, REVISAR Y APROBAR</w:t>
      </w:r>
    </w:p>
    <w:tbl>
      <w:tblPr>
        <w:tblStyle w:val="ad"/>
        <w:tblW w:w="9356" w:type="dxa"/>
        <w:jc w:val="center"/>
        <w:tblInd w:w="0" w:type="dxa"/>
        <w:tblLayout w:type="fixed"/>
        <w:tblLook w:val="0000" w:firstRow="0" w:lastRow="0" w:firstColumn="0" w:lastColumn="0" w:noHBand="0" w:noVBand="0"/>
      </w:tblPr>
      <w:tblGrid>
        <w:gridCol w:w="2830"/>
        <w:gridCol w:w="3544"/>
        <w:gridCol w:w="2982"/>
      </w:tblGrid>
      <w:tr w:rsidR="000D6C91" w14:paraId="5A58606B" w14:textId="77777777" w:rsidTr="00283768">
        <w:trPr>
          <w:trHeight w:val="103"/>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B0883D7" w14:textId="77777777" w:rsidR="000D6C91" w:rsidRPr="00196E95" w:rsidRDefault="00C11F23">
            <w:pPr>
              <w:widowControl w:val="0"/>
              <w:spacing w:after="0" w:line="240" w:lineRule="auto"/>
              <w:jc w:val="center"/>
              <w:rPr>
                <w:b/>
                <w:color w:val="000000"/>
                <w:highlight w:val="none"/>
              </w:rPr>
            </w:pPr>
            <w:r w:rsidRPr="00196E95">
              <w:rPr>
                <w:b/>
                <w:color w:val="000000"/>
                <w:highlight w:val="none"/>
              </w:rPr>
              <w:lastRenderedPageBreak/>
              <w:t>ELABORÓ</w:t>
            </w:r>
          </w:p>
        </w:tc>
        <w:tc>
          <w:tcPr>
            <w:tcW w:w="354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0B69A2F" w14:textId="77777777" w:rsidR="000D6C91" w:rsidRPr="00196E95" w:rsidRDefault="00C11F23">
            <w:pPr>
              <w:widowControl w:val="0"/>
              <w:spacing w:after="0" w:line="240" w:lineRule="auto"/>
              <w:jc w:val="center"/>
              <w:rPr>
                <w:b/>
                <w:color w:val="000000"/>
                <w:highlight w:val="none"/>
              </w:rPr>
            </w:pPr>
            <w:r w:rsidRPr="00196E95">
              <w:rPr>
                <w:b/>
                <w:color w:val="000000"/>
                <w:highlight w:val="none"/>
              </w:rPr>
              <w:t>REVISÓ</w:t>
            </w:r>
          </w:p>
        </w:tc>
        <w:tc>
          <w:tcPr>
            <w:tcW w:w="2982"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845D710" w14:textId="77777777" w:rsidR="000D6C91" w:rsidRPr="00196E95" w:rsidRDefault="00C11F23">
            <w:pPr>
              <w:widowControl w:val="0"/>
              <w:spacing w:after="0" w:line="240" w:lineRule="auto"/>
              <w:jc w:val="center"/>
              <w:rPr>
                <w:b/>
                <w:color w:val="000000"/>
                <w:highlight w:val="none"/>
              </w:rPr>
            </w:pPr>
            <w:r w:rsidRPr="00196E95">
              <w:rPr>
                <w:b/>
                <w:color w:val="000000"/>
                <w:highlight w:val="none"/>
              </w:rPr>
              <w:t>APROBÓ</w:t>
            </w:r>
          </w:p>
        </w:tc>
      </w:tr>
      <w:tr w:rsidR="000D6C91" w14:paraId="75DE674D" w14:textId="77777777" w:rsidTr="00283768">
        <w:trPr>
          <w:trHeight w:val="103"/>
          <w:jc w:val="center"/>
        </w:trPr>
        <w:tc>
          <w:tcPr>
            <w:tcW w:w="2830" w:type="dxa"/>
            <w:tcBorders>
              <w:top w:val="single" w:sz="6" w:space="0" w:color="000000"/>
              <w:left w:val="single" w:sz="6" w:space="0" w:color="000000"/>
              <w:bottom w:val="single" w:sz="6" w:space="0" w:color="000000"/>
              <w:right w:val="single" w:sz="6" w:space="0" w:color="000000"/>
            </w:tcBorders>
            <w:tcMar>
              <w:left w:w="100" w:type="dxa"/>
              <w:right w:w="100" w:type="dxa"/>
            </w:tcMar>
          </w:tcPr>
          <w:p w14:paraId="7A1C5E72" w14:textId="69DF8BDD" w:rsidR="000D6C91" w:rsidRDefault="000D6C91">
            <w:pPr>
              <w:widowControl w:val="0"/>
              <w:spacing w:after="0" w:line="240" w:lineRule="auto"/>
              <w:jc w:val="center"/>
              <w:rPr>
                <w:sz w:val="18"/>
                <w:szCs w:val="18"/>
              </w:rPr>
            </w:pPr>
          </w:p>
          <w:p w14:paraId="2D60292F" w14:textId="77777777" w:rsidR="000D6C91" w:rsidRDefault="00C11F23">
            <w:pPr>
              <w:widowControl w:val="0"/>
              <w:spacing w:after="0" w:line="240" w:lineRule="auto"/>
              <w:jc w:val="center"/>
              <w:rPr>
                <w:sz w:val="18"/>
                <w:szCs w:val="18"/>
              </w:rPr>
            </w:pPr>
            <w:r>
              <w:rPr>
                <w:sz w:val="18"/>
                <w:szCs w:val="18"/>
              </w:rPr>
              <w:t xml:space="preserve"> </w:t>
            </w:r>
          </w:p>
          <w:p w14:paraId="5D18CDF5" w14:textId="77777777" w:rsidR="000D6C91" w:rsidRDefault="000D6C91">
            <w:pPr>
              <w:widowControl w:val="0"/>
              <w:spacing w:after="0" w:line="240" w:lineRule="auto"/>
              <w:jc w:val="center"/>
              <w:rPr>
                <w:sz w:val="18"/>
                <w:szCs w:val="18"/>
              </w:rPr>
            </w:pPr>
          </w:p>
        </w:tc>
        <w:tc>
          <w:tcPr>
            <w:tcW w:w="3544" w:type="dxa"/>
            <w:tcBorders>
              <w:top w:val="single" w:sz="6" w:space="0" w:color="000000"/>
              <w:bottom w:val="single" w:sz="6" w:space="0" w:color="000000"/>
              <w:right w:val="single" w:sz="6" w:space="0" w:color="000000"/>
            </w:tcBorders>
            <w:tcMar>
              <w:left w:w="100" w:type="dxa"/>
              <w:right w:w="100" w:type="dxa"/>
            </w:tcMar>
          </w:tcPr>
          <w:p w14:paraId="22FBBAAA" w14:textId="77777777" w:rsidR="000D6C91" w:rsidRDefault="000D6C91">
            <w:pPr>
              <w:widowControl w:val="0"/>
              <w:spacing w:after="0" w:line="240" w:lineRule="auto"/>
              <w:jc w:val="center"/>
              <w:rPr>
                <w:sz w:val="18"/>
                <w:szCs w:val="18"/>
              </w:rPr>
            </w:pPr>
          </w:p>
          <w:p w14:paraId="67966D72" w14:textId="7B96EC9D" w:rsidR="000D6C91" w:rsidRDefault="000D6C91">
            <w:pPr>
              <w:widowControl w:val="0"/>
              <w:spacing w:after="0" w:line="240" w:lineRule="auto"/>
              <w:jc w:val="center"/>
              <w:rPr>
                <w:sz w:val="18"/>
                <w:szCs w:val="18"/>
              </w:rPr>
            </w:pPr>
          </w:p>
        </w:tc>
        <w:tc>
          <w:tcPr>
            <w:tcW w:w="2982" w:type="dxa"/>
            <w:tcBorders>
              <w:top w:val="single" w:sz="6" w:space="0" w:color="000000"/>
              <w:bottom w:val="single" w:sz="6" w:space="0" w:color="000000"/>
              <w:right w:val="single" w:sz="6" w:space="0" w:color="000000"/>
            </w:tcBorders>
            <w:tcMar>
              <w:left w:w="100" w:type="dxa"/>
              <w:right w:w="100" w:type="dxa"/>
            </w:tcMar>
          </w:tcPr>
          <w:p w14:paraId="7C98BAFC" w14:textId="77777777" w:rsidR="00196E95" w:rsidRDefault="00196E95">
            <w:pPr>
              <w:widowControl w:val="0"/>
              <w:spacing w:after="0" w:line="240" w:lineRule="auto"/>
              <w:jc w:val="center"/>
              <w:rPr>
                <w:sz w:val="18"/>
                <w:szCs w:val="18"/>
              </w:rPr>
            </w:pPr>
          </w:p>
          <w:p w14:paraId="013C0026" w14:textId="68003958" w:rsidR="000D6C91" w:rsidRDefault="000D6C91">
            <w:pPr>
              <w:widowControl w:val="0"/>
              <w:spacing w:after="0" w:line="240" w:lineRule="auto"/>
              <w:jc w:val="center"/>
              <w:rPr>
                <w:sz w:val="18"/>
                <w:szCs w:val="18"/>
              </w:rPr>
            </w:pPr>
          </w:p>
        </w:tc>
      </w:tr>
    </w:tbl>
    <w:p w14:paraId="702DE956" w14:textId="77777777" w:rsidR="000D6C91" w:rsidRDefault="000D6C91">
      <w:pPr>
        <w:spacing w:line="240" w:lineRule="auto"/>
      </w:pPr>
    </w:p>
    <w:sectPr w:rsidR="000D6C91">
      <w:headerReference w:type="default" r:id="rId11"/>
      <w:headerReference w:type="first" r:id="rId12"/>
      <w:pgSz w:w="12240" w:h="15840"/>
      <w:pgMar w:top="1701" w:right="1134" w:bottom="1134" w:left="1701" w:header="113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E913" w14:textId="77777777" w:rsidR="00E43FF3" w:rsidRDefault="00E43FF3">
      <w:pPr>
        <w:spacing w:after="0" w:line="240" w:lineRule="auto"/>
      </w:pPr>
      <w:r>
        <w:separator/>
      </w:r>
    </w:p>
  </w:endnote>
  <w:endnote w:type="continuationSeparator" w:id="0">
    <w:p w14:paraId="3CCF01B0" w14:textId="77777777" w:rsidR="00E43FF3" w:rsidRDefault="00E43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Noto Sans Symbols">
    <w:altName w:val="Calibri"/>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Raleway">
    <w:panose1 w:val="00000000000000000000"/>
    <w:charset w:val="4D"/>
    <w:family w:val="auto"/>
    <w:pitch w:val="variable"/>
    <w:sig w:usb0="A00002FF" w:usb1="5000205B" w:usb2="00000000" w:usb3="00000000" w:csb0="00000197"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A31BF" w14:textId="77777777" w:rsidR="00E43FF3" w:rsidRDefault="00E43FF3">
      <w:pPr>
        <w:spacing w:after="0" w:line="240" w:lineRule="auto"/>
      </w:pPr>
      <w:r>
        <w:separator/>
      </w:r>
    </w:p>
  </w:footnote>
  <w:footnote w:type="continuationSeparator" w:id="0">
    <w:p w14:paraId="75F06F13" w14:textId="77777777" w:rsidR="00E43FF3" w:rsidRDefault="00E43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8A0A" w14:textId="77777777" w:rsidR="000D6C91" w:rsidRDefault="000D6C91">
    <w:pPr>
      <w:widowControl w:val="0"/>
      <w:spacing w:after="0" w:line="276" w:lineRule="auto"/>
      <w:jc w:val="left"/>
    </w:pPr>
  </w:p>
  <w:tbl>
    <w:tblPr>
      <w:tblStyle w:val="ae"/>
      <w:tblW w:w="9341" w:type="dxa"/>
      <w:jc w:val="center"/>
      <w:tblInd w:w="0" w:type="dxa"/>
      <w:tblLayout w:type="fixed"/>
      <w:tblLook w:val="0000" w:firstRow="0" w:lastRow="0" w:firstColumn="0" w:lastColumn="0" w:noHBand="0" w:noVBand="0"/>
    </w:tblPr>
    <w:tblGrid>
      <w:gridCol w:w="3671"/>
      <w:gridCol w:w="3856"/>
      <w:gridCol w:w="1814"/>
    </w:tblGrid>
    <w:tr w:rsidR="000D6C91" w14:paraId="066232E2" w14:textId="77777777">
      <w:trPr>
        <w:cantSplit/>
        <w:trHeight w:val="396"/>
        <w:jc w:val="center"/>
      </w:trPr>
      <w:tc>
        <w:tcPr>
          <w:tcW w:w="3671" w:type="dxa"/>
          <w:vMerge w:val="restart"/>
          <w:tcBorders>
            <w:top w:val="single" w:sz="4" w:space="0" w:color="000000"/>
            <w:left w:val="single" w:sz="4" w:space="0" w:color="000000"/>
            <w:bottom w:val="single" w:sz="4" w:space="0" w:color="000000"/>
            <w:right w:val="single" w:sz="4" w:space="0" w:color="000000"/>
          </w:tcBorders>
          <w:vAlign w:val="center"/>
        </w:tcPr>
        <w:p w14:paraId="37B2ABF4" w14:textId="77777777" w:rsidR="000D6C91" w:rsidRDefault="00C11F23">
          <w:pPr>
            <w:widowControl w:val="0"/>
            <w:tabs>
              <w:tab w:val="center" w:pos="4419"/>
              <w:tab w:val="right" w:pos="8838"/>
            </w:tabs>
            <w:spacing w:after="0" w:line="240" w:lineRule="auto"/>
            <w:ind w:right="360"/>
            <w:jc w:val="right"/>
            <w:rPr>
              <w:color w:val="000000"/>
            </w:rPr>
          </w:pPr>
          <w:r>
            <w:rPr>
              <w:color w:val="000000"/>
            </w:rPr>
            <w:t xml:space="preserve"> </w:t>
          </w:r>
          <w:r>
            <w:rPr>
              <w:noProof/>
            </w:rPr>
            <w:drawing>
              <wp:anchor distT="0" distB="0" distL="114300" distR="114300" simplePos="0" relativeHeight="251658240" behindDoc="0" locked="0" layoutInCell="1" hidden="0" allowOverlap="1" wp14:anchorId="27300992" wp14:editId="78EC00C6">
                <wp:simplePos x="0" y="0"/>
                <wp:positionH relativeFrom="column">
                  <wp:posOffset>2543</wp:posOffset>
                </wp:positionH>
                <wp:positionV relativeFrom="paragraph">
                  <wp:posOffset>99060</wp:posOffset>
                </wp:positionV>
                <wp:extent cx="2228215" cy="533400"/>
                <wp:effectExtent l="0" t="0" r="0" b="0"/>
                <wp:wrapSquare wrapText="bothSides" distT="0" distB="0" distL="114300" distR="114300"/>
                <wp:docPr id="2095680330" name="image9.png" descr="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9.png" descr="Texto&#10;&#10;Descripción generada automáticamente"/>
                        <pic:cNvPicPr preferRelativeResize="0"/>
                      </pic:nvPicPr>
                      <pic:blipFill>
                        <a:blip r:embed="rId1"/>
                        <a:srcRect/>
                        <a:stretch>
                          <a:fillRect/>
                        </a:stretch>
                      </pic:blipFill>
                      <pic:spPr>
                        <a:xfrm>
                          <a:off x="0" y="0"/>
                          <a:ext cx="2228215" cy="533400"/>
                        </a:xfrm>
                        <a:prstGeom prst="rect">
                          <a:avLst/>
                        </a:prstGeom>
                        <a:ln/>
                      </pic:spPr>
                    </pic:pic>
                  </a:graphicData>
                </a:graphic>
              </wp:anchor>
            </w:drawing>
          </w: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5C7B6F1A" w14:textId="2C5646B9" w:rsidR="000D6C91" w:rsidRDefault="00DB6682">
          <w:pPr>
            <w:widowControl w:val="0"/>
            <w:tabs>
              <w:tab w:val="left" w:pos="1275"/>
              <w:tab w:val="center" w:pos="4419"/>
              <w:tab w:val="right" w:pos="8838"/>
            </w:tabs>
            <w:spacing w:after="0" w:line="240" w:lineRule="auto"/>
            <w:ind w:left="420"/>
            <w:jc w:val="center"/>
            <w:rPr>
              <w:b/>
              <w:color w:val="000000"/>
            </w:rPr>
          </w:pPr>
          <w:r>
            <w:rPr>
              <w:b/>
              <w:color w:val="000000"/>
            </w:rPr>
            <w:t>ANALÍTICA DE DATOS E INFORMACIÓN AMBIENTAL</w:t>
          </w:r>
        </w:p>
      </w:tc>
    </w:tr>
    <w:tr w:rsidR="000D6C91" w14:paraId="2D37E73B" w14:textId="77777777">
      <w:trPr>
        <w:cantSplit/>
        <w:trHeight w:val="550"/>
        <w:jc w:val="center"/>
      </w:trPr>
      <w:tc>
        <w:tcPr>
          <w:tcW w:w="3671" w:type="dxa"/>
          <w:vMerge/>
          <w:tcBorders>
            <w:top w:val="single" w:sz="4" w:space="0" w:color="000000"/>
            <w:left w:val="single" w:sz="4" w:space="0" w:color="000000"/>
            <w:bottom w:val="single" w:sz="4" w:space="0" w:color="000000"/>
            <w:right w:val="single" w:sz="4" w:space="0" w:color="000000"/>
          </w:tcBorders>
          <w:vAlign w:val="center"/>
        </w:tcPr>
        <w:p w14:paraId="0046B3F0" w14:textId="77777777" w:rsidR="000D6C91" w:rsidRDefault="000D6C91">
          <w:pPr>
            <w:widowControl w:val="0"/>
            <w:pBdr>
              <w:top w:val="nil"/>
              <w:left w:val="nil"/>
              <w:bottom w:val="nil"/>
              <w:right w:val="nil"/>
              <w:between w:val="nil"/>
            </w:pBdr>
            <w:spacing w:after="0" w:line="276" w:lineRule="auto"/>
            <w:jc w:val="left"/>
            <w:rPr>
              <w:b/>
              <w:color w:val="000000"/>
            </w:rPr>
          </w:pP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3371BBA1" w14:textId="1EFEFF76" w:rsidR="000D6C91" w:rsidRDefault="00C11F23">
          <w:pPr>
            <w:widowControl w:val="0"/>
            <w:tabs>
              <w:tab w:val="center" w:pos="4419"/>
              <w:tab w:val="right" w:pos="8838"/>
            </w:tabs>
            <w:spacing w:after="0" w:line="240" w:lineRule="auto"/>
            <w:jc w:val="center"/>
            <w:rPr>
              <w:b/>
              <w:color w:val="000000"/>
            </w:rPr>
          </w:pPr>
          <w:r>
            <w:rPr>
              <w:b/>
              <w:color w:val="000000"/>
            </w:rPr>
            <w:t xml:space="preserve">Instructivo </w:t>
          </w:r>
          <w:r w:rsidR="0009201C">
            <w:rPr>
              <w:b/>
              <w:color w:val="000000"/>
            </w:rPr>
            <w:t>Identificación, declaración y gestión de conflicto de interés</w:t>
          </w:r>
        </w:p>
      </w:tc>
    </w:tr>
    <w:tr w:rsidR="000D6C91" w14:paraId="7DFF30DF" w14:textId="77777777">
      <w:trPr>
        <w:cantSplit/>
        <w:trHeight w:val="398"/>
        <w:jc w:val="center"/>
      </w:trPr>
      <w:tc>
        <w:tcPr>
          <w:tcW w:w="3671" w:type="dxa"/>
          <w:vMerge/>
          <w:tcBorders>
            <w:top w:val="single" w:sz="4" w:space="0" w:color="000000"/>
            <w:left w:val="single" w:sz="4" w:space="0" w:color="000000"/>
            <w:bottom w:val="single" w:sz="4" w:space="0" w:color="000000"/>
            <w:right w:val="single" w:sz="4" w:space="0" w:color="000000"/>
          </w:tcBorders>
          <w:vAlign w:val="center"/>
        </w:tcPr>
        <w:p w14:paraId="54AE9F32" w14:textId="77777777" w:rsidR="000D6C91" w:rsidRDefault="000D6C91">
          <w:pPr>
            <w:widowControl w:val="0"/>
            <w:pBdr>
              <w:top w:val="nil"/>
              <w:left w:val="nil"/>
              <w:bottom w:val="nil"/>
              <w:right w:val="nil"/>
              <w:between w:val="nil"/>
            </w:pBdr>
            <w:spacing w:after="0" w:line="276" w:lineRule="auto"/>
            <w:jc w:val="left"/>
            <w:rPr>
              <w:b/>
              <w:color w:val="000000"/>
            </w:rPr>
          </w:pPr>
        </w:p>
      </w:tc>
      <w:tc>
        <w:tcPr>
          <w:tcW w:w="3856" w:type="dxa"/>
          <w:tcBorders>
            <w:top w:val="single" w:sz="4" w:space="0" w:color="000000"/>
            <w:left w:val="single" w:sz="4" w:space="0" w:color="000000"/>
            <w:bottom w:val="single" w:sz="4" w:space="0" w:color="000000"/>
            <w:right w:val="single" w:sz="4" w:space="0" w:color="000000"/>
          </w:tcBorders>
          <w:vAlign w:val="center"/>
        </w:tcPr>
        <w:p w14:paraId="4A1E160F" w14:textId="379B269D" w:rsidR="000D6C91" w:rsidRDefault="00C11F23">
          <w:pPr>
            <w:widowControl w:val="0"/>
            <w:tabs>
              <w:tab w:val="center" w:pos="4419"/>
              <w:tab w:val="right" w:pos="8838"/>
            </w:tabs>
            <w:spacing w:after="0" w:line="240" w:lineRule="auto"/>
            <w:rPr>
              <w:color w:val="000000"/>
            </w:rPr>
          </w:pPr>
          <w:r>
            <w:rPr>
              <w:color w:val="000000"/>
            </w:rPr>
            <w:t xml:space="preserve">Código: </w:t>
          </w:r>
        </w:p>
      </w:tc>
      <w:tc>
        <w:tcPr>
          <w:tcW w:w="1814" w:type="dxa"/>
          <w:tcBorders>
            <w:top w:val="single" w:sz="4" w:space="0" w:color="000000"/>
            <w:left w:val="single" w:sz="4" w:space="0" w:color="000000"/>
            <w:bottom w:val="single" w:sz="4" w:space="0" w:color="000000"/>
            <w:right w:val="single" w:sz="4" w:space="0" w:color="000000"/>
          </w:tcBorders>
          <w:vAlign w:val="center"/>
        </w:tcPr>
        <w:p w14:paraId="7F410F91" w14:textId="772FBDD0" w:rsidR="000D6C91" w:rsidRDefault="00C11F23">
          <w:pPr>
            <w:widowControl w:val="0"/>
            <w:tabs>
              <w:tab w:val="center" w:pos="4419"/>
              <w:tab w:val="right" w:pos="8838"/>
            </w:tabs>
            <w:spacing w:after="0" w:line="240" w:lineRule="auto"/>
            <w:rPr>
              <w:color w:val="000000"/>
            </w:rPr>
          </w:pPr>
          <w:r>
            <w:rPr>
              <w:color w:val="000000"/>
            </w:rPr>
            <w:t xml:space="preserve"> Versión: </w:t>
          </w:r>
          <w:r w:rsidR="000C5065">
            <w:rPr>
              <w:color w:val="000000"/>
            </w:rPr>
            <w:t>1</w:t>
          </w:r>
        </w:p>
      </w:tc>
    </w:tr>
  </w:tbl>
  <w:p w14:paraId="4202DD50" w14:textId="77777777" w:rsidR="000D6C91" w:rsidRDefault="000D6C91">
    <w:pPr>
      <w:tabs>
        <w:tab w:val="center" w:pos="4419"/>
        <w:tab w:val="right" w:pos="8838"/>
      </w:tabs>
      <w:spacing w:after="0" w:line="240" w:lineRule="auto"/>
      <w:jc w:val="left"/>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BADD" w14:textId="77777777" w:rsidR="000D6C91" w:rsidRDefault="000D6C91">
    <w:pPr>
      <w:widowControl w:val="0"/>
      <w:spacing w:after="0" w:line="276" w:lineRule="auto"/>
      <w:jc w:val="left"/>
    </w:pPr>
  </w:p>
  <w:tbl>
    <w:tblPr>
      <w:tblStyle w:val="af"/>
      <w:tblW w:w="9341" w:type="dxa"/>
      <w:jc w:val="center"/>
      <w:tblInd w:w="0" w:type="dxa"/>
      <w:tblLayout w:type="fixed"/>
      <w:tblLook w:val="0000" w:firstRow="0" w:lastRow="0" w:firstColumn="0" w:lastColumn="0" w:noHBand="0" w:noVBand="0"/>
    </w:tblPr>
    <w:tblGrid>
      <w:gridCol w:w="3671"/>
      <w:gridCol w:w="3856"/>
      <w:gridCol w:w="1814"/>
    </w:tblGrid>
    <w:tr w:rsidR="000D6C91" w14:paraId="7EA1EBF7" w14:textId="77777777">
      <w:trPr>
        <w:cantSplit/>
        <w:trHeight w:val="396"/>
        <w:jc w:val="center"/>
      </w:trPr>
      <w:tc>
        <w:tcPr>
          <w:tcW w:w="3671" w:type="dxa"/>
          <w:vMerge w:val="restart"/>
          <w:tcBorders>
            <w:top w:val="single" w:sz="4" w:space="0" w:color="000000"/>
            <w:left w:val="single" w:sz="4" w:space="0" w:color="000000"/>
            <w:bottom w:val="single" w:sz="4" w:space="0" w:color="000000"/>
            <w:right w:val="single" w:sz="4" w:space="0" w:color="000000"/>
          </w:tcBorders>
          <w:vAlign w:val="center"/>
        </w:tcPr>
        <w:p w14:paraId="6872AB3E" w14:textId="77777777" w:rsidR="000D6C91" w:rsidRDefault="00C11F23">
          <w:pPr>
            <w:widowControl w:val="0"/>
            <w:tabs>
              <w:tab w:val="center" w:pos="4419"/>
              <w:tab w:val="right" w:pos="8838"/>
            </w:tabs>
            <w:spacing w:after="0" w:line="240" w:lineRule="auto"/>
            <w:ind w:right="360"/>
            <w:jc w:val="right"/>
            <w:rPr>
              <w:color w:val="000000"/>
            </w:rPr>
          </w:pPr>
          <w:r>
            <w:rPr>
              <w:color w:val="000000"/>
            </w:rPr>
            <w:t xml:space="preserve"> </w:t>
          </w:r>
          <w:r>
            <w:rPr>
              <w:noProof/>
            </w:rPr>
            <w:drawing>
              <wp:anchor distT="0" distB="0" distL="114300" distR="114300" simplePos="0" relativeHeight="251659264" behindDoc="0" locked="0" layoutInCell="1" hidden="0" allowOverlap="1" wp14:anchorId="10E6AADD" wp14:editId="7C35885E">
                <wp:simplePos x="0" y="0"/>
                <wp:positionH relativeFrom="column">
                  <wp:posOffset>2543</wp:posOffset>
                </wp:positionH>
                <wp:positionV relativeFrom="paragraph">
                  <wp:posOffset>99060</wp:posOffset>
                </wp:positionV>
                <wp:extent cx="2228215" cy="533400"/>
                <wp:effectExtent l="0" t="0" r="0" b="0"/>
                <wp:wrapSquare wrapText="bothSides" distT="0" distB="0" distL="114300" distR="114300"/>
                <wp:docPr id="2095680329" name="image9.png" descr="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9.png" descr="Texto&#10;&#10;Descripción generada automáticamente"/>
                        <pic:cNvPicPr preferRelativeResize="0"/>
                      </pic:nvPicPr>
                      <pic:blipFill>
                        <a:blip r:embed="rId1"/>
                        <a:srcRect/>
                        <a:stretch>
                          <a:fillRect/>
                        </a:stretch>
                      </pic:blipFill>
                      <pic:spPr>
                        <a:xfrm>
                          <a:off x="0" y="0"/>
                          <a:ext cx="2228215" cy="533400"/>
                        </a:xfrm>
                        <a:prstGeom prst="rect">
                          <a:avLst/>
                        </a:prstGeom>
                        <a:ln/>
                      </pic:spPr>
                    </pic:pic>
                  </a:graphicData>
                </a:graphic>
              </wp:anchor>
            </w:drawing>
          </w: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12205D24" w14:textId="396C28A1" w:rsidR="000D6C91" w:rsidRDefault="000C5065">
          <w:pPr>
            <w:widowControl w:val="0"/>
            <w:tabs>
              <w:tab w:val="left" w:pos="1275"/>
              <w:tab w:val="center" w:pos="4419"/>
              <w:tab w:val="right" w:pos="8838"/>
            </w:tabs>
            <w:spacing w:after="0" w:line="240" w:lineRule="auto"/>
            <w:ind w:left="420"/>
            <w:jc w:val="center"/>
            <w:rPr>
              <w:b/>
              <w:color w:val="000000"/>
            </w:rPr>
          </w:pPr>
          <w:r>
            <w:rPr>
              <w:b/>
              <w:color w:val="000000"/>
            </w:rPr>
            <w:t>ANALÍTICA DE DATOS E INFORMACIÓN AMBIENTAL</w:t>
          </w:r>
        </w:p>
      </w:tc>
    </w:tr>
    <w:tr w:rsidR="000D6C91" w14:paraId="2209FF6E" w14:textId="77777777">
      <w:trPr>
        <w:cantSplit/>
        <w:trHeight w:val="550"/>
        <w:jc w:val="center"/>
      </w:trPr>
      <w:tc>
        <w:tcPr>
          <w:tcW w:w="3671" w:type="dxa"/>
          <w:vMerge/>
          <w:tcBorders>
            <w:top w:val="single" w:sz="4" w:space="0" w:color="000000"/>
            <w:left w:val="single" w:sz="4" w:space="0" w:color="000000"/>
            <w:bottom w:val="single" w:sz="4" w:space="0" w:color="000000"/>
            <w:right w:val="single" w:sz="4" w:space="0" w:color="000000"/>
          </w:tcBorders>
          <w:vAlign w:val="center"/>
        </w:tcPr>
        <w:p w14:paraId="24E66449" w14:textId="77777777" w:rsidR="000D6C91" w:rsidRDefault="000D6C91">
          <w:pPr>
            <w:widowControl w:val="0"/>
            <w:pBdr>
              <w:top w:val="nil"/>
              <w:left w:val="nil"/>
              <w:bottom w:val="nil"/>
              <w:right w:val="nil"/>
              <w:between w:val="nil"/>
            </w:pBdr>
            <w:spacing w:after="0" w:line="276" w:lineRule="auto"/>
            <w:jc w:val="left"/>
            <w:rPr>
              <w:b/>
              <w:color w:val="000000"/>
            </w:rPr>
          </w:pP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14:paraId="35A1FA3E" w14:textId="6C9946DF" w:rsidR="000D6C91" w:rsidRDefault="000C5065">
          <w:pPr>
            <w:widowControl w:val="0"/>
            <w:tabs>
              <w:tab w:val="center" w:pos="4419"/>
              <w:tab w:val="right" w:pos="8838"/>
            </w:tabs>
            <w:spacing w:after="0" w:line="240" w:lineRule="auto"/>
            <w:jc w:val="center"/>
            <w:rPr>
              <w:b/>
              <w:color w:val="000000"/>
            </w:rPr>
          </w:pPr>
          <w:r>
            <w:rPr>
              <w:b/>
              <w:color w:val="000000"/>
            </w:rPr>
            <w:t>Instructivo Identificación, declaración y gestión de conflicto de interés</w:t>
          </w:r>
        </w:p>
      </w:tc>
    </w:tr>
    <w:tr w:rsidR="000D6C91" w14:paraId="40C16704" w14:textId="77777777">
      <w:trPr>
        <w:cantSplit/>
        <w:trHeight w:val="398"/>
        <w:jc w:val="center"/>
      </w:trPr>
      <w:tc>
        <w:tcPr>
          <w:tcW w:w="3671" w:type="dxa"/>
          <w:vMerge/>
          <w:tcBorders>
            <w:top w:val="single" w:sz="4" w:space="0" w:color="000000"/>
            <w:left w:val="single" w:sz="4" w:space="0" w:color="000000"/>
            <w:bottom w:val="single" w:sz="4" w:space="0" w:color="000000"/>
            <w:right w:val="single" w:sz="4" w:space="0" w:color="000000"/>
          </w:tcBorders>
          <w:vAlign w:val="center"/>
        </w:tcPr>
        <w:p w14:paraId="7498EFCE" w14:textId="77777777" w:rsidR="000D6C91" w:rsidRDefault="000D6C91">
          <w:pPr>
            <w:widowControl w:val="0"/>
            <w:pBdr>
              <w:top w:val="nil"/>
              <w:left w:val="nil"/>
              <w:bottom w:val="nil"/>
              <w:right w:val="nil"/>
              <w:between w:val="nil"/>
            </w:pBdr>
            <w:spacing w:after="0" w:line="276" w:lineRule="auto"/>
            <w:jc w:val="left"/>
            <w:rPr>
              <w:b/>
              <w:color w:val="000000"/>
            </w:rPr>
          </w:pPr>
        </w:p>
      </w:tc>
      <w:tc>
        <w:tcPr>
          <w:tcW w:w="3856" w:type="dxa"/>
          <w:tcBorders>
            <w:top w:val="single" w:sz="4" w:space="0" w:color="000000"/>
            <w:left w:val="single" w:sz="4" w:space="0" w:color="000000"/>
            <w:bottom w:val="single" w:sz="4" w:space="0" w:color="000000"/>
            <w:right w:val="single" w:sz="4" w:space="0" w:color="000000"/>
          </w:tcBorders>
          <w:vAlign w:val="center"/>
        </w:tcPr>
        <w:p w14:paraId="2A34B1AA" w14:textId="4F40BED7" w:rsidR="000D6C91" w:rsidRDefault="00C11F23">
          <w:pPr>
            <w:widowControl w:val="0"/>
            <w:tabs>
              <w:tab w:val="center" w:pos="4419"/>
              <w:tab w:val="right" w:pos="8838"/>
            </w:tabs>
            <w:spacing w:after="0" w:line="240" w:lineRule="auto"/>
            <w:rPr>
              <w:color w:val="000000"/>
            </w:rPr>
          </w:pPr>
          <w:r>
            <w:rPr>
              <w:color w:val="000000"/>
            </w:rPr>
            <w:t xml:space="preserve">Código: </w:t>
          </w:r>
        </w:p>
      </w:tc>
      <w:tc>
        <w:tcPr>
          <w:tcW w:w="1814" w:type="dxa"/>
          <w:tcBorders>
            <w:top w:val="single" w:sz="4" w:space="0" w:color="000000"/>
            <w:left w:val="single" w:sz="4" w:space="0" w:color="000000"/>
            <w:bottom w:val="single" w:sz="4" w:space="0" w:color="000000"/>
            <w:right w:val="single" w:sz="4" w:space="0" w:color="000000"/>
          </w:tcBorders>
          <w:vAlign w:val="center"/>
        </w:tcPr>
        <w:p w14:paraId="42909C1A" w14:textId="7256FA69" w:rsidR="000D6C91" w:rsidRDefault="00C11F23">
          <w:pPr>
            <w:widowControl w:val="0"/>
            <w:tabs>
              <w:tab w:val="center" w:pos="4419"/>
              <w:tab w:val="right" w:pos="8838"/>
            </w:tabs>
            <w:spacing w:after="0" w:line="240" w:lineRule="auto"/>
            <w:rPr>
              <w:color w:val="000000"/>
            </w:rPr>
          </w:pPr>
          <w:r>
            <w:rPr>
              <w:color w:val="000000"/>
            </w:rPr>
            <w:t xml:space="preserve"> Versión: </w:t>
          </w:r>
          <w:r w:rsidR="000C5065">
            <w:t>1</w:t>
          </w:r>
        </w:p>
      </w:tc>
    </w:tr>
  </w:tbl>
  <w:p w14:paraId="5699C890" w14:textId="77777777" w:rsidR="000D6C91" w:rsidRDefault="000D6C91">
    <w:pPr>
      <w:tabs>
        <w:tab w:val="center" w:pos="4419"/>
        <w:tab w:val="right" w:pos="8838"/>
      </w:tabs>
      <w:spacing w:after="0" w:line="240" w:lineRule="auto"/>
      <w:jc w:val="left"/>
      <w:rPr>
        <w:rFonts w:ascii="Calibri" w:eastAsia="Calibri" w:hAnsi="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28078" w14:textId="77777777" w:rsidR="000D6C91" w:rsidRDefault="000D6C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14F"/>
    <w:multiLevelType w:val="multilevel"/>
    <w:tmpl w:val="D7686C00"/>
    <w:lvl w:ilvl="0">
      <w:start w:val="1"/>
      <w:numFmt w:val="decimal"/>
      <w:lvlText w:val="%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70F6D"/>
    <w:multiLevelType w:val="hybridMultilevel"/>
    <w:tmpl w:val="7BFCF442"/>
    <w:lvl w:ilvl="0" w:tplc="18B08DC0">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24928C8"/>
    <w:multiLevelType w:val="hybridMultilevel"/>
    <w:tmpl w:val="CC1A7B98"/>
    <w:lvl w:ilvl="0" w:tplc="F280CA7C">
      <w:start w:val="1"/>
      <w:numFmt w:val="decimal"/>
      <w:lvlText w:val="%1."/>
      <w:lvlJc w:val="left"/>
      <w:pPr>
        <w:ind w:left="1080" w:hanging="720"/>
      </w:pPr>
      <w:rPr>
        <w:rFonts w:ascii="Arial" w:eastAsia="Arial"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4762F6D"/>
    <w:multiLevelType w:val="hybridMultilevel"/>
    <w:tmpl w:val="479A715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5853615"/>
    <w:multiLevelType w:val="multilevel"/>
    <w:tmpl w:val="18DAAFE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5" w15:restartNumberingAfterBreak="0">
    <w:nsid w:val="1A9F0B92"/>
    <w:multiLevelType w:val="hybridMultilevel"/>
    <w:tmpl w:val="A8B255A0"/>
    <w:lvl w:ilvl="0" w:tplc="4DB6C400">
      <w:start w:val="8"/>
      <w:numFmt w:val="bullet"/>
      <w:lvlText w:val="•"/>
      <w:lvlJc w:val="left"/>
      <w:pPr>
        <w:ind w:left="1080" w:hanging="72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45F794E"/>
    <w:multiLevelType w:val="multilevel"/>
    <w:tmpl w:val="E0FCB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7107A9"/>
    <w:multiLevelType w:val="multilevel"/>
    <w:tmpl w:val="0518C820"/>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3072B3"/>
    <w:multiLevelType w:val="multilevel"/>
    <w:tmpl w:val="FAD42506"/>
    <w:lvl w:ilvl="0">
      <w:start w:val="1"/>
      <w:numFmt w:val="decimal"/>
      <w:lvlText w:val="%1."/>
      <w:lvlJc w:val="right"/>
      <w:pPr>
        <w:ind w:left="566" w:hanging="359"/>
      </w:pPr>
    </w:lvl>
    <w:lvl w:ilvl="1">
      <w:start w:val="1"/>
      <w:numFmt w:val="decimal"/>
      <w:lvlText w:val="%1.%2."/>
      <w:lvlJc w:val="right"/>
      <w:pPr>
        <w:ind w:left="708" w:hanging="360"/>
      </w:pPr>
      <w:rPr>
        <w:b/>
      </w:rPr>
    </w:lvl>
    <w:lvl w:ilvl="2">
      <w:start w:val="1"/>
      <w:numFmt w:val="decimal"/>
      <w:lvlText w:val="%1.%2.%3."/>
      <w:lvlJc w:val="right"/>
      <w:pPr>
        <w:ind w:left="1275" w:hanging="720"/>
      </w:pPr>
    </w:lvl>
    <w:lvl w:ilvl="3">
      <w:start w:val="1"/>
      <w:numFmt w:val="decimal"/>
      <w:lvlText w:val="%1.%2.%3.%4."/>
      <w:lvlJc w:val="right"/>
      <w:pPr>
        <w:ind w:left="1417" w:hanging="720"/>
      </w:pPr>
    </w:lvl>
    <w:lvl w:ilvl="4">
      <w:start w:val="1"/>
      <w:numFmt w:val="decimal"/>
      <w:lvlText w:val="%1.%2.%3.%4.%5."/>
      <w:lvlJc w:val="right"/>
      <w:pPr>
        <w:ind w:left="1440" w:hanging="1080"/>
      </w:pPr>
    </w:lvl>
    <w:lvl w:ilvl="5">
      <w:start w:val="1"/>
      <w:numFmt w:val="decimal"/>
      <w:lvlText w:val="%1.%2.%3.%4.%5.%6."/>
      <w:lvlJc w:val="right"/>
      <w:pPr>
        <w:ind w:left="1440" w:hanging="1080"/>
      </w:p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9" w15:restartNumberingAfterBreak="0">
    <w:nsid w:val="5BD66890"/>
    <w:multiLevelType w:val="multilevel"/>
    <w:tmpl w:val="B6BAA200"/>
    <w:lvl w:ilvl="0">
      <w:start w:val="1"/>
      <w:numFmt w:val="bullet"/>
      <w:lvlText w:val=""/>
      <w:lvlJc w:val="left"/>
      <w:pPr>
        <w:ind w:left="720" w:hanging="360"/>
      </w:pPr>
      <w:rPr>
        <w:rFonts w:ascii="Wingdings" w:hAnsi="Wingdings" w:hint="default"/>
      </w:r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BD19D9"/>
    <w:multiLevelType w:val="multilevel"/>
    <w:tmpl w:val="AE602B36"/>
    <w:lvl w:ilvl="0">
      <w:start w:val="1"/>
      <w:numFmt w:val="bullet"/>
      <w:lvlText w:val="●"/>
      <w:lvlJc w:val="left"/>
      <w:pPr>
        <w:ind w:left="708" w:hanging="360"/>
      </w:pPr>
      <w:rPr>
        <w:rFonts w:ascii="Noto Sans Symbols" w:eastAsia="Noto Sans Symbols" w:hAnsi="Noto Sans Symbols" w:cs="Noto Sans Symbols"/>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11" w15:restartNumberingAfterBreak="0">
    <w:nsid w:val="5F547076"/>
    <w:multiLevelType w:val="hybridMultilevel"/>
    <w:tmpl w:val="423429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CF002E9"/>
    <w:multiLevelType w:val="multilevel"/>
    <w:tmpl w:val="8DD0EE84"/>
    <w:lvl w:ilvl="0">
      <w:start w:val="1"/>
      <w:numFmt w:val="decimal"/>
      <w:lvlText w:val="%1."/>
      <w:lvlJc w:val="left"/>
      <w:pPr>
        <w:ind w:left="720" w:hanging="360"/>
      </w:pPr>
      <w:rPr>
        <w:b/>
      </w:rPr>
    </w:lvl>
    <w:lvl w:ilvl="1">
      <w:start w:val="2"/>
      <w:numFmt w:val="decimal"/>
      <w:lvlText w:val="%1.%2"/>
      <w:lvlJc w:val="left"/>
      <w:pPr>
        <w:ind w:left="1372" w:hanging="660"/>
      </w:pPr>
    </w:lvl>
    <w:lvl w:ilvl="2">
      <w:start w:val="2"/>
      <w:numFmt w:val="decimal"/>
      <w:lvlText w:val="%1.%2.%3"/>
      <w:lvlJc w:val="left"/>
      <w:pPr>
        <w:ind w:left="1784" w:hanging="720"/>
      </w:pPr>
    </w:lvl>
    <w:lvl w:ilvl="3">
      <w:start w:val="2"/>
      <w:numFmt w:val="decimal"/>
      <w:lvlText w:val="%1.%2.%3.%4"/>
      <w:lvlJc w:val="left"/>
      <w:pPr>
        <w:ind w:left="2136" w:hanging="720"/>
      </w:pPr>
    </w:lvl>
    <w:lvl w:ilvl="4">
      <w:start w:val="1"/>
      <w:numFmt w:val="decimal"/>
      <w:lvlText w:val="%1.%2.%3.%4.%5"/>
      <w:lvlJc w:val="left"/>
      <w:pPr>
        <w:ind w:left="2848" w:hanging="1080"/>
      </w:pPr>
    </w:lvl>
    <w:lvl w:ilvl="5">
      <w:start w:val="1"/>
      <w:numFmt w:val="decimal"/>
      <w:lvlText w:val="%1.%2.%3.%4.%5.%6"/>
      <w:lvlJc w:val="left"/>
      <w:pPr>
        <w:ind w:left="3200" w:hanging="1080"/>
      </w:pPr>
    </w:lvl>
    <w:lvl w:ilvl="6">
      <w:start w:val="1"/>
      <w:numFmt w:val="decimal"/>
      <w:lvlText w:val="%1.%2.%3.%4.%5.%6.%7"/>
      <w:lvlJc w:val="left"/>
      <w:pPr>
        <w:ind w:left="3912" w:hanging="1440"/>
      </w:pPr>
    </w:lvl>
    <w:lvl w:ilvl="7">
      <w:start w:val="1"/>
      <w:numFmt w:val="decimal"/>
      <w:lvlText w:val="%1.%2.%3.%4.%5.%6.%7.%8"/>
      <w:lvlJc w:val="left"/>
      <w:pPr>
        <w:ind w:left="4264" w:hanging="1440"/>
      </w:pPr>
    </w:lvl>
    <w:lvl w:ilvl="8">
      <w:start w:val="1"/>
      <w:numFmt w:val="decimal"/>
      <w:lvlText w:val="%1.%2.%3.%4.%5.%6.%7.%8.%9"/>
      <w:lvlJc w:val="left"/>
      <w:pPr>
        <w:ind w:left="4976" w:hanging="1800"/>
      </w:pPr>
    </w:lvl>
  </w:abstractNum>
  <w:abstractNum w:abstractNumId="13" w15:restartNumberingAfterBreak="0">
    <w:nsid w:val="71D25C4E"/>
    <w:multiLevelType w:val="hybridMultilevel"/>
    <w:tmpl w:val="E4401B6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68341D"/>
    <w:multiLevelType w:val="hybridMultilevel"/>
    <w:tmpl w:val="52A4BEB8"/>
    <w:lvl w:ilvl="0" w:tplc="A17450E8">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B9555B8"/>
    <w:multiLevelType w:val="multilevel"/>
    <w:tmpl w:val="8ACACA5C"/>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num w:numId="1" w16cid:durableId="485054547">
    <w:abstractNumId w:val="4"/>
  </w:num>
  <w:num w:numId="2" w16cid:durableId="1915428395">
    <w:abstractNumId w:val="10"/>
  </w:num>
  <w:num w:numId="3" w16cid:durableId="1167088491">
    <w:abstractNumId w:val="0"/>
  </w:num>
  <w:num w:numId="4" w16cid:durableId="1444496163">
    <w:abstractNumId w:val="7"/>
  </w:num>
  <w:num w:numId="5" w16cid:durableId="748043709">
    <w:abstractNumId w:val="12"/>
  </w:num>
  <w:num w:numId="6" w16cid:durableId="438721753">
    <w:abstractNumId w:val="15"/>
  </w:num>
  <w:num w:numId="7" w16cid:durableId="130172063">
    <w:abstractNumId w:val="8"/>
  </w:num>
  <w:num w:numId="8" w16cid:durableId="2099523706">
    <w:abstractNumId w:val="13"/>
  </w:num>
  <w:num w:numId="9" w16cid:durableId="819348264">
    <w:abstractNumId w:val="3"/>
  </w:num>
  <w:num w:numId="10" w16cid:durableId="2063216293">
    <w:abstractNumId w:val="5"/>
  </w:num>
  <w:num w:numId="11" w16cid:durableId="432285045">
    <w:abstractNumId w:val="6"/>
  </w:num>
  <w:num w:numId="12" w16cid:durableId="475418221">
    <w:abstractNumId w:val="9"/>
  </w:num>
  <w:num w:numId="13" w16cid:durableId="2033069357">
    <w:abstractNumId w:val="2"/>
  </w:num>
  <w:num w:numId="14" w16cid:durableId="369039353">
    <w:abstractNumId w:val="14"/>
  </w:num>
  <w:num w:numId="15" w16cid:durableId="987562437">
    <w:abstractNumId w:val="1"/>
  </w:num>
  <w:num w:numId="16" w16cid:durableId="609085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C91"/>
    <w:rsid w:val="0006749F"/>
    <w:rsid w:val="0009201C"/>
    <w:rsid w:val="00097EC2"/>
    <w:rsid w:val="000C5065"/>
    <w:rsid w:val="000D6C91"/>
    <w:rsid w:val="000F4E6D"/>
    <w:rsid w:val="00120EDE"/>
    <w:rsid w:val="00196E95"/>
    <w:rsid w:val="001E13EE"/>
    <w:rsid w:val="00216A0E"/>
    <w:rsid w:val="00283768"/>
    <w:rsid w:val="003415B4"/>
    <w:rsid w:val="00553CD9"/>
    <w:rsid w:val="005806AA"/>
    <w:rsid w:val="006065B7"/>
    <w:rsid w:val="0066168B"/>
    <w:rsid w:val="00674F00"/>
    <w:rsid w:val="00766472"/>
    <w:rsid w:val="00773260"/>
    <w:rsid w:val="007F7B33"/>
    <w:rsid w:val="00833492"/>
    <w:rsid w:val="00865072"/>
    <w:rsid w:val="008A5EF4"/>
    <w:rsid w:val="009374BD"/>
    <w:rsid w:val="009D2C7E"/>
    <w:rsid w:val="009F061F"/>
    <w:rsid w:val="00C11F23"/>
    <w:rsid w:val="00C527A4"/>
    <w:rsid w:val="00D1348A"/>
    <w:rsid w:val="00D47157"/>
    <w:rsid w:val="00D50DE6"/>
    <w:rsid w:val="00DB6682"/>
    <w:rsid w:val="00E43FF3"/>
    <w:rsid w:val="00F13C32"/>
    <w:rsid w:val="00F72227"/>
    <w:rsid w:val="00F762B3"/>
    <w:rsid w:val="00FB7273"/>
    <w:rsid w:val="00FC2D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C4334"/>
  <w15:docId w15:val="{BFDFA92C-7527-48BA-AE47-91DE9411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highlight w:val="white"/>
        <w:lang w:val="es-CO" w:eastAsia="es-CO"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ind w:left="720" w:hanging="360"/>
      <w:jc w:val="left"/>
      <w:outlineLvl w:val="0"/>
    </w:pPr>
    <w:rPr>
      <w:b/>
    </w:rPr>
  </w:style>
  <w:style w:type="paragraph" w:styleId="Ttulo2">
    <w:name w:val="heading 2"/>
    <w:basedOn w:val="Normal"/>
    <w:next w:val="Normal"/>
    <w:uiPriority w:val="9"/>
    <w:unhideWhenUsed/>
    <w:qFormat/>
    <w:pPr>
      <w:keepNext/>
      <w:keepLines/>
      <w:spacing w:after="0"/>
      <w:ind w:left="1440" w:hanging="360"/>
      <w:outlineLvl w:val="1"/>
    </w:pPr>
    <w:rPr>
      <w:b/>
    </w:rPr>
  </w:style>
  <w:style w:type="paragraph" w:styleId="Ttulo3">
    <w:name w:val="heading 3"/>
    <w:basedOn w:val="Normal"/>
    <w:next w:val="Normal"/>
    <w:uiPriority w:val="9"/>
    <w:unhideWhenUsed/>
    <w:qFormat/>
    <w:pPr>
      <w:keepNext/>
      <w:keepLines/>
      <w:spacing w:before="240" w:after="0"/>
      <w:ind w:left="720" w:hanging="360"/>
      <w:jc w:val="left"/>
      <w:outlineLvl w:val="2"/>
    </w:pPr>
    <w:rPr>
      <w:b/>
    </w:rPr>
  </w:style>
  <w:style w:type="paragraph" w:styleId="Ttulo4">
    <w:name w:val="heading 4"/>
    <w:basedOn w:val="Normal"/>
    <w:next w:val="Normal"/>
    <w:uiPriority w:val="9"/>
    <w:unhideWhenUsed/>
    <w:qFormat/>
    <w:pPr>
      <w:keepNext/>
      <w:keepLines/>
      <w:spacing w:after="0"/>
      <w:ind w:left="1440" w:hanging="360"/>
      <w:outlineLvl w:val="3"/>
    </w:pPr>
    <w:rPr>
      <w:b/>
      <w:i/>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240" w:after="0"/>
      <w:ind w:left="720" w:hanging="360"/>
    </w:pPr>
    <w:rPr>
      <w:b/>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EncabezadoCar">
    <w:name w:val="Encabezado Car"/>
    <w:basedOn w:val="Fuentedeprrafopredeter"/>
    <w:link w:val="Encabezado"/>
    <w:uiPriority w:val="99"/>
    <w:qFormat/>
    <w:rsid w:val="001960F4"/>
  </w:style>
  <w:style w:type="character" w:customStyle="1" w:styleId="PiedepginaCar">
    <w:name w:val="Pie de página Car"/>
    <w:basedOn w:val="Fuentedeprrafopredeter"/>
    <w:link w:val="Piedepgina"/>
    <w:uiPriority w:val="99"/>
    <w:qFormat/>
    <w:rsid w:val="001960F4"/>
  </w:style>
  <w:style w:type="character" w:customStyle="1" w:styleId="Ttulo1Car">
    <w:name w:val="Título 1 Car"/>
    <w:basedOn w:val="Fuentedeprrafopredeter"/>
    <w:uiPriority w:val="9"/>
    <w:qFormat/>
    <w:rsid w:val="00C51FFD"/>
    <w:rPr>
      <w:b/>
    </w:rPr>
  </w:style>
  <w:style w:type="character" w:styleId="Hipervnculo">
    <w:name w:val="Hyperlink"/>
    <w:basedOn w:val="Fuentedeprrafopredeter"/>
    <w:uiPriority w:val="99"/>
    <w:unhideWhenUsed/>
    <w:rsid w:val="002A4D32"/>
    <w:rPr>
      <w:color w:val="0563C1" w:themeColor="hyperlink"/>
      <w:u w:val="single"/>
    </w:rPr>
  </w:style>
  <w:style w:type="character" w:styleId="Refdecomentario">
    <w:name w:val="annotation reference"/>
    <w:basedOn w:val="Fuentedeprrafopredeter"/>
    <w:uiPriority w:val="99"/>
    <w:semiHidden/>
    <w:unhideWhenUsed/>
    <w:qFormat/>
    <w:rsid w:val="005C02CA"/>
    <w:rPr>
      <w:sz w:val="16"/>
      <w:szCs w:val="16"/>
    </w:rPr>
  </w:style>
  <w:style w:type="character" w:customStyle="1" w:styleId="TextocomentarioCar">
    <w:name w:val="Texto comentario Car"/>
    <w:basedOn w:val="Fuentedeprrafopredeter"/>
    <w:link w:val="Textocomentario"/>
    <w:uiPriority w:val="99"/>
    <w:semiHidden/>
    <w:qFormat/>
    <w:rsid w:val="005C02CA"/>
    <w:rPr>
      <w:sz w:val="20"/>
      <w:szCs w:val="20"/>
    </w:rPr>
  </w:style>
  <w:style w:type="character" w:customStyle="1" w:styleId="AsuntodelcomentarioCar">
    <w:name w:val="Asunto del comentario Car"/>
    <w:basedOn w:val="TextocomentarioCar"/>
    <w:link w:val="Asuntodelcomentario"/>
    <w:uiPriority w:val="99"/>
    <w:semiHidden/>
    <w:qFormat/>
    <w:rsid w:val="005C02CA"/>
    <w:rPr>
      <w:b/>
      <w:bCs/>
      <w:sz w:val="20"/>
      <w:szCs w:val="20"/>
    </w:rPr>
  </w:style>
  <w:style w:type="character" w:customStyle="1" w:styleId="TextodegloboCar">
    <w:name w:val="Texto de globo Car"/>
    <w:basedOn w:val="Fuentedeprrafopredeter"/>
    <w:link w:val="Textodeglobo"/>
    <w:uiPriority w:val="99"/>
    <w:semiHidden/>
    <w:qFormat/>
    <w:rsid w:val="005C02CA"/>
    <w:rPr>
      <w:rFonts w:ascii="Segoe UI" w:hAnsi="Segoe UI" w:cs="Segoe UI"/>
      <w:sz w:val="18"/>
      <w:szCs w:val="18"/>
    </w:rPr>
  </w:style>
  <w:style w:type="character" w:customStyle="1" w:styleId="Ttulo2Car">
    <w:name w:val="Título 2 Car"/>
    <w:basedOn w:val="Fuentedeprrafopredeter"/>
    <w:uiPriority w:val="9"/>
    <w:qFormat/>
    <w:rsid w:val="00C51FFD"/>
    <w:rPr>
      <w:b/>
    </w:rPr>
  </w:style>
  <w:style w:type="character" w:customStyle="1" w:styleId="Enlacedelndice">
    <w:name w:val="Enlace del índice"/>
    <w:qFormat/>
  </w:style>
  <w:style w:type="paragraph" w:styleId="Textoindependiente">
    <w:name w:val="Body Text"/>
    <w:basedOn w:val="Normal"/>
    <w:pPr>
      <w:spacing w:after="140" w:line="276" w:lineRule="auto"/>
    </w:pPr>
  </w:style>
  <w:style w:type="paragraph" w:styleId="Lista">
    <w:name w:val="List"/>
    <w:basedOn w:val="Textoindependiente"/>
  </w:style>
  <w:style w:type="paragraph" w:styleId="Descripcin">
    <w:name w:val="caption"/>
    <w:basedOn w:val="Normal"/>
    <w:qFormat/>
    <w:pPr>
      <w:suppressLineNumbers/>
      <w:spacing w:before="120" w:after="120"/>
    </w:pPr>
    <w:rPr>
      <w:i/>
      <w:iCs/>
      <w:sz w:val="24"/>
      <w:szCs w:val="24"/>
    </w:rPr>
  </w:style>
  <w:style w:type="paragraph" w:customStyle="1" w:styleId="ndice">
    <w:name w:val="Índice"/>
    <w:basedOn w:val="Normal"/>
    <w:qFormat/>
    <w:pPr>
      <w:suppressLineNumbers/>
    </w:pPr>
  </w:style>
  <w:style w:type="paragraph" w:customStyle="1" w:styleId="Cabeceraypie">
    <w:name w:val="Cabecera y pie"/>
    <w:basedOn w:val="Normal"/>
    <w:qFormat/>
  </w:style>
  <w:style w:type="paragraph" w:styleId="Encabezado">
    <w:name w:val="header"/>
    <w:basedOn w:val="Normal"/>
    <w:link w:val="EncabezadoCar"/>
    <w:uiPriority w:val="99"/>
    <w:unhideWhenUsed/>
    <w:rsid w:val="001960F4"/>
    <w:pPr>
      <w:tabs>
        <w:tab w:val="center" w:pos="4419"/>
        <w:tab w:val="right" w:pos="8838"/>
      </w:tabs>
      <w:spacing w:after="0" w:line="240" w:lineRule="auto"/>
    </w:pPr>
  </w:style>
  <w:style w:type="paragraph" w:styleId="Piedepgina">
    <w:name w:val="footer"/>
    <w:basedOn w:val="Normal"/>
    <w:link w:val="PiedepginaCar"/>
    <w:uiPriority w:val="99"/>
    <w:unhideWhenUsed/>
    <w:rsid w:val="001960F4"/>
    <w:pPr>
      <w:tabs>
        <w:tab w:val="center" w:pos="4419"/>
        <w:tab w:val="right" w:pos="8838"/>
      </w:tabs>
      <w:spacing w:after="0" w:line="240" w:lineRule="auto"/>
    </w:pPr>
  </w:style>
  <w:style w:type="paragraph" w:styleId="Ttulodendice">
    <w:name w:val="index heading"/>
  </w:style>
  <w:style w:type="paragraph" w:styleId="TtuloTDC">
    <w:name w:val="TOC Heading"/>
    <w:next w:val="Normal"/>
    <w:uiPriority w:val="39"/>
    <w:unhideWhenUsed/>
    <w:qFormat/>
    <w:rsid w:val="001960F4"/>
  </w:style>
  <w:style w:type="paragraph" w:styleId="TDC1">
    <w:name w:val="toc 1"/>
    <w:basedOn w:val="Normal"/>
    <w:next w:val="Normal"/>
    <w:autoRedefine/>
    <w:uiPriority w:val="39"/>
    <w:unhideWhenUsed/>
    <w:rsid w:val="002A4D32"/>
    <w:pPr>
      <w:spacing w:after="100"/>
    </w:pPr>
  </w:style>
  <w:style w:type="paragraph" w:styleId="Prrafodelista">
    <w:name w:val="List Paragraph"/>
    <w:basedOn w:val="Normal"/>
    <w:uiPriority w:val="34"/>
    <w:qFormat/>
    <w:rsid w:val="00915DE8"/>
    <w:pPr>
      <w:ind w:left="720"/>
      <w:contextualSpacing/>
    </w:pPr>
  </w:style>
  <w:style w:type="paragraph" w:styleId="TDC2">
    <w:name w:val="toc 2"/>
    <w:basedOn w:val="Normal"/>
    <w:next w:val="Normal"/>
    <w:autoRedefine/>
    <w:uiPriority w:val="39"/>
    <w:unhideWhenUsed/>
    <w:rsid w:val="00796CBD"/>
    <w:pPr>
      <w:spacing w:after="100"/>
      <w:ind w:left="220"/>
    </w:pPr>
  </w:style>
  <w:style w:type="paragraph" w:styleId="Textocomentario">
    <w:name w:val="annotation text"/>
    <w:basedOn w:val="Normal"/>
    <w:link w:val="TextocomentarioCar"/>
    <w:uiPriority w:val="99"/>
    <w:semiHidden/>
    <w:unhideWhenUsed/>
    <w:qFormat/>
    <w:rsid w:val="005C02CA"/>
    <w:pPr>
      <w:spacing w:line="240" w:lineRule="auto"/>
    </w:pPr>
    <w:rPr>
      <w:sz w:val="20"/>
      <w:szCs w:val="20"/>
    </w:rPr>
  </w:style>
  <w:style w:type="paragraph" w:styleId="Asuntodelcomentario">
    <w:name w:val="annotation subject"/>
    <w:basedOn w:val="Textocomentario"/>
    <w:next w:val="Textocomentario"/>
    <w:link w:val="AsuntodelcomentarioCar"/>
    <w:uiPriority w:val="99"/>
    <w:semiHidden/>
    <w:unhideWhenUsed/>
    <w:qFormat/>
    <w:rsid w:val="005C02CA"/>
    <w:rPr>
      <w:b/>
      <w:bCs/>
    </w:rPr>
  </w:style>
  <w:style w:type="paragraph" w:styleId="Textodeglobo">
    <w:name w:val="Balloon Text"/>
    <w:basedOn w:val="Normal"/>
    <w:link w:val="TextodegloboCar"/>
    <w:uiPriority w:val="99"/>
    <w:semiHidden/>
    <w:unhideWhenUsed/>
    <w:qFormat/>
    <w:rsid w:val="005C02CA"/>
    <w:pPr>
      <w:spacing w:after="0" w:line="240" w:lineRule="auto"/>
    </w:pPr>
    <w:rPr>
      <w:rFonts w:ascii="Segoe UI" w:hAnsi="Segoe UI" w:cs="Segoe UI"/>
      <w:sz w:val="18"/>
      <w:szCs w:val="18"/>
    </w:rPr>
  </w:style>
  <w:style w:type="paragraph" w:styleId="Sinespaciado">
    <w:name w:val="No Spacing"/>
    <w:uiPriority w:val="1"/>
    <w:qFormat/>
    <w:rsid w:val="00FE1904"/>
    <w:pPr>
      <w:spacing w:after="0" w:line="240" w:lineRule="auto"/>
    </w:pPr>
  </w:style>
  <w:style w:type="paragraph" w:styleId="TDC3">
    <w:name w:val="toc 3"/>
    <w:basedOn w:val="Normal"/>
    <w:next w:val="Normal"/>
    <w:autoRedefine/>
    <w:uiPriority w:val="39"/>
    <w:unhideWhenUsed/>
    <w:rsid w:val="00675865"/>
    <w:pPr>
      <w:spacing w:after="100"/>
      <w:ind w:left="440"/>
    </w:pPr>
  </w:style>
  <w:style w:type="paragraph" w:styleId="TDC4">
    <w:name w:val="toc 4"/>
    <w:basedOn w:val="Normal"/>
    <w:next w:val="Normal"/>
    <w:autoRedefine/>
    <w:uiPriority w:val="39"/>
    <w:unhideWhenUsed/>
    <w:rsid w:val="00460E80"/>
    <w:pPr>
      <w:spacing w:after="100"/>
      <w:ind w:left="660"/>
    </w:pPr>
  </w:style>
  <w:style w:type="paragraph" w:customStyle="1" w:styleId="Contenidodelmarco">
    <w:name w:val="Contenido del marco"/>
    <w:basedOn w:val="Normal"/>
    <w:qFormat/>
  </w:style>
  <w:style w:type="table" w:customStyle="1" w:styleId="TableNormal2">
    <w:name w:val="Table Normal"/>
    <w:tblPr>
      <w:tblCellMar>
        <w:top w:w="0" w:type="dxa"/>
        <w:left w:w="0" w:type="dxa"/>
        <w:bottom w:w="0" w:type="dxa"/>
        <w:right w:w="0" w:type="dxa"/>
      </w:tblCellMar>
    </w:tblPr>
  </w:style>
  <w:style w:type="table" w:styleId="Tablaconcuadrcula">
    <w:name w:val="Table Grid"/>
    <w:basedOn w:val="Tablanormal"/>
    <w:uiPriority w:val="39"/>
    <w:rsid w:val="002808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2"/>
    <w:tblPr>
      <w:tblStyleRowBandSize w:val="1"/>
      <w:tblStyleColBandSize w:val="1"/>
      <w:tblCellMar>
        <w:left w:w="100" w:type="dxa"/>
        <w:right w:w="100"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 w:type="table" w:customStyle="1" w:styleId="a3">
    <w:basedOn w:val="TableNormal2"/>
    <w:tblPr>
      <w:tblStyleRowBandSize w:val="1"/>
      <w:tblStyleColBandSize w:val="1"/>
      <w:tblCellMar>
        <w:left w:w="108" w:type="dxa"/>
        <w:right w:w="108" w:type="dxa"/>
      </w:tblCellMar>
    </w:tblPr>
  </w:style>
  <w:style w:type="character" w:styleId="Fuerte">
    <w:name w:val="Strong"/>
    <w:basedOn w:val="Fuentedeprrafopredeter"/>
    <w:uiPriority w:val="22"/>
    <w:qFormat/>
    <w:rsid w:val="00BF7B02"/>
    <w:rPr>
      <w:b/>
      <w:bCs/>
    </w:rPr>
  </w:style>
  <w:style w:type="paragraph" w:styleId="NormalWeb">
    <w:name w:val="Normal (Web)"/>
    <w:basedOn w:val="Normal"/>
    <w:uiPriority w:val="99"/>
    <w:semiHidden/>
    <w:unhideWhenUsed/>
    <w:rsid w:val="00A3148F"/>
    <w:pPr>
      <w:spacing w:before="100" w:beforeAutospacing="1" w:after="100" w:afterAutospacing="1" w:line="240" w:lineRule="auto"/>
      <w:jc w:val="left"/>
    </w:pPr>
    <w:rPr>
      <w:rFonts w:ascii="Times New Roman" w:eastAsia="Times New Roman" w:hAnsi="Times New Roman" w:cs="Times New Roman"/>
      <w:sz w:val="24"/>
      <w:szCs w:val="24"/>
      <w:highlight w:val="none"/>
    </w:rPr>
  </w:style>
  <w:style w:type="table" w:customStyle="1" w:styleId="a4">
    <w:basedOn w:val="TableNormal1"/>
    <w:tblPr>
      <w:tblStyleRowBandSize w:val="1"/>
      <w:tblStyleColBandSize w:val="1"/>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08" w:type="dxa"/>
        <w:right w:w="108" w:type="dxa"/>
      </w:tblCellMar>
    </w:tblPr>
  </w:style>
  <w:style w:type="table" w:customStyle="1" w:styleId="a9">
    <w:basedOn w:val="TableNormal1"/>
    <w:tblPr>
      <w:tblStyleRowBandSize w:val="1"/>
      <w:tblStyleColBandSize w:val="1"/>
      <w:tblCellMar>
        <w:left w:w="108" w:type="dxa"/>
        <w:right w:w="108" w:type="dxa"/>
      </w:tblCellMar>
    </w:tblPr>
  </w:style>
  <w:style w:type="paragraph" w:styleId="Subttulo">
    <w:name w:val="Subtitle"/>
    <w:basedOn w:val="Normal"/>
    <w:next w:val="Normal"/>
    <w:uiPriority w:val="11"/>
    <w:qFormat/>
    <w:pPr>
      <w:keepNext/>
      <w:keepLines/>
      <w:spacing w:after="0"/>
    </w:pPr>
    <w:rPr>
      <w:b/>
    </w:r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Hfo2kJ/xwuvydUnb9yJqzzpTPA==">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8</Pages>
  <Words>1829</Words>
  <Characters>11032</Characters>
  <Application>Microsoft Office Word</Application>
  <DocSecurity>0</DocSecurity>
  <Lines>250</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MARIA.VARGAS</dc:creator>
  <cp:lastModifiedBy>Johanna Paola Abella Gamba</cp:lastModifiedBy>
  <cp:revision>14</cp:revision>
  <dcterms:created xsi:type="dcterms:W3CDTF">2026-04-05T01:12:00Z</dcterms:created>
  <dcterms:modified xsi:type="dcterms:W3CDTF">2026-04-05T15:55:00Z</dcterms:modified>
</cp:coreProperties>
</file>